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1998" w14:textId="1C578DC3" w:rsidR="00974C09" w:rsidRDefault="00974C09" w:rsidP="00B95182">
      <w:pPr>
        <w:pStyle w:val="Nadpis1"/>
        <w:jc w:val="both"/>
      </w:pPr>
      <w:r w:rsidRPr="007614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3EB1696" wp14:editId="5479A2BE">
            <wp:simplePos x="0" y="0"/>
            <wp:positionH relativeFrom="margin">
              <wp:posOffset>1352550</wp:posOffset>
            </wp:positionH>
            <wp:positionV relativeFrom="paragraph">
              <wp:posOffset>18415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BC3461" w14:textId="77777777" w:rsidR="00974C09" w:rsidRPr="00974C09" w:rsidRDefault="00974C09" w:rsidP="001500E8">
      <w:pPr>
        <w:jc w:val="right"/>
      </w:pPr>
    </w:p>
    <w:p w14:paraId="559C2C2E" w14:textId="5FD1370B" w:rsidR="001500E8" w:rsidRPr="001500E8" w:rsidRDefault="001500E8" w:rsidP="001500E8">
      <w:pPr>
        <w:pStyle w:val="Nadpis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500E8">
        <w:rPr>
          <w:rFonts w:ascii="Times New Roman" w:hAnsi="Times New Roman" w:cs="Times New Roman"/>
          <w:b/>
          <w:bCs/>
          <w:color w:val="auto"/>
          <w:sz w:val="24"/>
          <w:szCs w:val="24"/>
        </w:rPr>
        <w:t>Příloha č. 1</w:t>
      </w:r>
    </w:p>
    <w:p w14:paraId="39A78069" w14:textId="402B4B36" w:rsidR="00251CD5" w:rsidRPr="00F05C19" w:rsidRDefault="00D64CA2" w:rsidP="00F05C19">
      <w:pPr>
        <w:pStyle w:val="Nadpis1"/>
        <w:spacing w:after="36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68064B">
        <w:rPr>
          <w:rFonts w:ascii="Times New Roman" w:hAnsi="Times New Roman" w:cs="Times New Roman"/>
          <w:b/>
          <w:bCs/>
          <w:color w:val="0070C0"/>
          <w:sz w:val="36"/>
          <w:szCs w:val="36"/>
        </w:rPr>
        <w:t>Technic</w:t>
      </w:r>
      <w:r w:rsidR="00F05C19">
        <w:rPr>
          <w:rFonts w:ascii="Times New Roman" w:hAnsi="Times New Roman" w:cs="Times New Roman"/>
          <w:b/>
          <w:bCs/>
          <w:color w:val="0070C0"/>
          <w:sz w:val="36"/>
          <w:szCs w:val="36"/>
        </w:rPr>
        <w:t>ká s</w:t>
      </w:r>
      <w:r w:rsidR="00E73271" w:rsidRPr="0068064B">
        <w:rPr>
          <w:rFonts w:ascii="Times New Roman" w:hAnsi="Times New Roman" w:cs="Times New Roman"/>
          <w:b/>
          <w:bCs/>
          <w:color w:val="0070C0"/>
          <w:sz w:val="36"/>
          <w:szCs w:val="36"/>
        </w:rPr>
        <w:t>pecifikace předmětu plnění</w:t>
      </w:r>
    </w:p>
    <w:p w14:paraId="69F61F92" w14:textId="77777777" w:rsidR="00251CD5" w:rsidRPr="00B14AC6" w:rsidRDefault="00251CD5" w:rsidP="00DD53D6">
      <w:pPr>
        <w:pStyle w:val="Odstavecseseznamem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AC6">
        <w:rPr>
          <w:rFonts w:ascii="Times New Roman" w:hAnsi="Times New Roman" w:cs="Times New Roman"/>
          <w:b/>
          <w:bCs/>
          <w:sz w:val="24"/>
          <w:szCs w:val="24"/>
        </w:rPr>
        <w:t>HW a související služby</w:t>
      </w:r>
    </w:p>
    <w:p w14:paraId="222625AB" w14:textId="77777777" w:rsidR="00251CD5" w:rsidRPr="00B14AC6" w:rsidRDefault="00251CD5" w:rsidP="00251CD5">
      <w:pPr>
        <w:pStyle w:val="Odstavecseseznamem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Požadují se zařízení (2 totožná, redundantní pro zajištění režimu vysoké dostupnosti viz dále) typu firewall/router. Soubor zařízení nahradí soubor stávajících zařízení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Sonicwall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SuperMassive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9200 v ostrém produkčním prostředí. </w:t>
      </w:r>
    </w:p>
    <w:p w14:paraId="2C7FCDBD" w14:textId="6AEFD435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Firewall bude dodán v provedení hardwarového clusteru z důvodu zajištění redundance, a to v podobě dvou kusů stejných modelů zařízení, které budou identicky zapojeny do infrastruktury a budou tak zajišťovat vysokou dostupnost v režimu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. Obě zařízení musí být vybavena redundantními napájecími zdroji. Je požadováno, aby pasivní zařízení automaticky respektovalo konfiguraci aktivního zařízení a v případě konfigurační změny v aktivním firewallu došlo automaticky bez prodlení a bez zásahu administrátora k aktualizaci konfigurace i v pasivním zařízení. Současně musí obě zařízení detekovat dostupnost, funkčnost a</w:t>
      </w:r>
      <w:r w:rsidR="00D66551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konektivitu druhého zařízení a v případě jeho selhání či nedostupnosti musí převzít vedoucí úlohu nejpozději do max. 20 sekund od výpadku aktivního</w:t>
      </w:r>
      <w:r w:rsidR="007541FF">
        <w:rPr>
          <w:rFonts w:ascii="Times New Roman" w:hAnsi="Times New Roman" w:cs="Times New Roman"/>
          <w:sz w:val="24"/>
          <w:szCs w:val="24"/>
        </w:rPr>
        <w:t xml:space="preserve"> zařízení</w:t>
      </w:r>
      <w:r w:rsidRPr="00B14AC6">
        <w:rPr>
          <w:rFonts w:ascii="Times New Roman" w:hAnsi="Times New Roman" w:cs="Times New Roman"/>
          <w:sz w:val="24"/>
          <w:szCs w:val="24"/>
        </w:rPr>
        <w:t>. Totéž se týká plánovaných odstávek, např. během aktualizace firmwarů. Obě zařízení si mezi sebou musí průběžně vyměňovat informace o otevřených spojeních, aby v případě přenosu aktivní role mezi zařízeními nedošlo k resetování probíhajících spojení.</w:t>
      </w:r>
    </w:p>
    <w:p w14:paraId="3E04A37A" w14:textId="77777777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Firewall bude sloužit k ochraně perimetru sítě, stejně jako k ochraně provozu mezi vnitřními zónami sítě (LAN, DMZ, MPLS,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CMS apod.). S ohledem na to jsou požadovány následující min. výkonové parametry propustnosti (platí pro každé ze dvou zařízení):</w:t>
      </w:r>
    </w:p>
    <w:p w14:paraId="530054AA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stateful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firewall min. 25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BCD353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aplikační firewall min. 15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0401A0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antivirová kontrola min. 15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BF353C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ochrana IPS min. 15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1E09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VPN min. 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ED94" w14:textId="6EF62383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počet souběžných spojení kontrolovaných technologií DPI min. 2 000 000, se</w:t>
      </w:r>
      <w:r w:rsidR="002C792F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schopností zpracovávání nárůstu počtu spojení min. 200 000 za sekundu.</w:t>
      </w:r>
    </w:p>
    <w:p w14:paraId="524E9D62" w14:textId="745B782C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Firewall bude zároveň sloužit jako hraniční router. Vzhledem k možnosti zřízení autonomního systému („AS“) je požadována i případná licence (pokud je pro zajištění funkčnosti nutná) umožňující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routování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pomocí protokolů OSPF, RIP a zejména BGP. Firewall musí být schopen zajistit i funkci vysoké dostupnosti konektivity poskytované nezávislými dodavateli (ISP), tj.</w:t>
      </w:r>
      <w:r w:rsidR="00713E68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musí být schopen detekovat provozuschopnost těchto připojení (testováním dostupnosti ICMP a TCP vůči stanoveným vzdáleným destinacím), v případě výpadku primárního spojení přepnout na záložní bez zásahu administrátora a po zotavení primárního spojení opět zajistit přepnutí provozu zpět na primární. Současně je požadována schopnost vynucení určitého spojení pouze prostřednictvím záložní linky (např.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hostovský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HTTP/S provoz), aby jím nebyla zatěžována primární konektivita nutná k zajištění plynulého běhu kritických služeb a aplikací. </w:t>
      </w:r>
      <w:r w:rsidRPr="00B14AC6">
        <w:rPr>
          <w:rFonts w:ascii="Times New Roman" w:hAnsi="Times New Roman" w:cs="Times New Roman"/>
          <w:sz w:val="24"/>
          <w:szCs w:val="24"/>
        </w:rPr>
        <w:lastRenderedPageBreak/>
        <w:t>Z důvodu vysoké dostupnosti a rozložení zátěže musí být firewall schopen přijímat příchozí připojení na všech veřejných konektivitách souběžně.</w:t>
      </w:r>
    </w:p>
    <w:p w14:paraId="2CF89ED8" w14:textId="77777777" w:rsidR="00251CD5" w:rsidRPr="00B14AC6" w:rsidRDefault="00251CD5" w:rsidP="00DD53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Minimální parametry konektivity (platí pro každé ze dvou zařízení):</w:t>
      </w:r>
    </w:p>
    <w:p w14:paraId="58F2855B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min. 6x 10Gb SFP+, </w:t>
      </w:r>
    </w:p>
    <w:p w14:paraId="6AF2D96F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min. 12x 1G Base-T</w:t>
      </w:r>
    </w:p>
    <w:p w14:paraId="018C6E51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mimo výše uvedených provozních portů je požadován oddělený 1GbE management port </w:t>
      </w:r>
    </w:p>
    <w:p w14:paraId="16413053" w14:textId="26616290" w:rsidR="00251CD5" w:rsidRPr="00DD53D6" w:rsidRDefault="00251CD5" w:rsidP="00DD53D6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pro případ servisních činností CLI rozhraní spravované pomocí protokolu SSH na</w:t>
      </w:r>
      <w:r w:rsidR="001639EC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management portu, identické rozhraní dostupné pomocí portu pro připojení sériové konzole</w:t>
      </w:r>
    </w:p>
    <w:p w14:paraId="5DE78BCB" w14:textId="77777777" w:rsidR="00251CD5" w:rsidRPr="00B14AC6" w:rsidRDefault="00251CD5" w:rsidP="00251CD5">
      <w:pPr>
        <w:pStyle w:val="Odstavecseseznamem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Dále jsou požadovány tyto vlastnost/funkčnosti (platí pro každé ze dvou zařízení):</w:t>
      </w:r>
    </w:p>
    <w:p w14:paraId="16EAC8B1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 hloubková inspekce paketů („DPI“), </w:t>
      </w:r>
    </w:p>
    <w:p w14:paraId="4821E11A" w14:textId="20E88898" w:rsidR="00251CD5" w:rsidRPr="00B14AC6" w:rsidRDefault="00251CD5" w:rsidP="00251CD5">
      <w:pPr>
        <w:pStyle w:val="Odstavecseseznamem"/>
        <w:numPr>
          <w:ilvl w:val="0"/>
          <w:numId w:val="5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včetně licencí opravňujících k použití funkcí zahrnující funkce aplikační firewall, antivirová kontrola síťových spojení,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intrusion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filtr URL a</w:t>
      </w:r>
      <w:r w:rsidR="005103E4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webového obsahu</w:t>
      </w:r>
    </w:p>
    <w:p w14:paraId="56C58221" w14:textId="1C94966F" w:rsidR="00251CD5" w:rsidRPr="00B14AC6" w:rsidRDefault="00251CD5" w:rsidP="00251CD5">
      <w:pPr>
        <w:pStyle w:val="Odstavecseseznamem"/>
        <w:numPr>
          <w:ilvl w:val="0"/>
          <w:numId w:val="5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kromě standardních DPI funkcí možnost definovat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-IP filtr a filtr sítí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botnet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tj.</w:t>
      </w:r>
      <w:r w:rsidR="005103E4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omezení příchozí a odchozí komunikace s nežádoucími zeměmi a s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botnet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sítěmi centrálně řízených počítačů za účelem provádění kybernetické kriminality. Firewall musí být schopen aktualizovat databáze a signatury funkcí DPI průběžně a automaticky, bez jakéhokoli zásahu administrátora. Je požadováno, aby byl firewall schopen zároveň fungovat jako pasivní DPI sonda, která analyzuje provoz přiváděný z kritických segmentů technologií Port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mirroring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(„SPAN“).</w:t>
      </w:r>
    </w:p>
    <w:p w14:paraId="721E041A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k dosažení efektivní komunikace je požadována schopnost prioritizace provozu nejen dle TCP portů, ale zejména na základě detekovaných aplikací.</w:t>
      </w:r>
    </w:p>
    <w:p w14:paraId="04904AAA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na úrovni L2/L3:</w:t>
      </w:r>
    </w:p>
    <w:p w14:paraId="2E8D20EB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ochrana před (D)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útoky v podobě vynucení standardů TCP (RFC 1122, RFC 793), </w:t>
      </w:r>
    </w:p>
    <w:p w14:paraId="7734A3F2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aktivní ochrana (blokováním) při překročení max. počtu spojení v případě L2 útoku typu SYN/RST/FIN/TCP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826D2E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aktivní ochrana (blokováním) při překročení max. počtu spojení v případě L3 útoku typu SYN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A357B3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aktivní ochrana (blokováním) při překročení max. počtu spojení v případě UDP a ICMP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útoku a schopností SYN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v případě podezření z útoku typu SYN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nastavením horní hranice počtu spojení, od kterého je SYN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aktivní.</w:t>
      </w:r>
    </w:p>
    <w:p w14:paraId="24684DA3" w14:textId="68ECE98E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z důvodu prevence připojení nežádoucích zařízení funkce MAC-IP anti-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spoofingu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se</w:t>
      </w:r>
      <w:r w:rsidR="00121E53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schopností detekovat, reportovat a aktivně blokovat zařízení, která nejsou uvedena v anti-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spoof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cache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. Dále musí být anti-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spoof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cache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schopna „uzamčení“ vazby mezi MAC a IP, aby předešla </w:t>
      </w:r>
      <w:proofErr w:type="gramStart"/>
      <w:r w:rsidRPr="00B14AC6">
        <w:rPr>
          <w:rFonts w:ascii="Times New Roman" w:hAnsi="Times New Roman" w:cs="Times New Roman"/>
          <w:sz w:val="24"/>
          <w:szCs w:val="24"/>
        </w:rPr>
        <w:t>případným man</w:t>
      </w:r>
      <w:proofErr w:type="gramEnd"/>
      <w:r w:rsidRPr="00B14AC6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útokům pomocí technik typu ARP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poisoning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.</w:t>
      </w:r>
    </w:p>
    <w:p w14:paraId="5077375D" w14:textId="4C8873CB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možnost personifikace datových toků, tj. schopnost detekovat nejen zdrojové/cílové adresy ve vnitřní síti, ale zároveň i detekovat konkrétní přihlášené uživatele na</w:t>
      </w:r>
      <w:r w:rsidR="00121E53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pracovních stanicích ve vnitřní síti, kteří datový tok iniciovali. Detekce těchto uživatelů musí probíhat buď na základě dotazu směrovaného konkrétní pracovní stanici nebo zjištění přihlášení/odhlášení uživatele ze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logů doménových řadičů (uživatelé i počítače jsou zařazeny do doménové struktury Microsoft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).</w:t>
      </w:r>
    </w:p>
    <w:p w14:paraId="0893B9C3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lastRenderedPageBreak/>
        <w:t xml:space="preserve">možnost definování platnosti standardních i aplikačních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firewallových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pravidel pouze pro vyjmenované uživatele, případně pro vyjmenované skupiny uživatelů, přičemž firewall musí umožňovat vytváření lokálních skupin přímo ve firewallu a ruční přiřazování uživatelů do nich, a zároveň musí umožňovat načítání skupin a členství uživatelů v nich přímo z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.</w:t>
      </w:r>
    </w:p>
    <w:p w14:paraId="264A328D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možnost hloubkové inspekce šifrovaných SSL spojení („DPI-SSL“) pro zajištění ochrany před útoky a dalšími nežádoucími toky na veřejně poskytované služby využívající protokol HTTPS, ať už umístěné v místním prostředí nebo na internetu.</w:t>
      </w:r>
    </w:p>
    <w:p w14:paraId="0782145B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ochrana proti škodlivým DNS dotazům a rizikovým doménám, přičemž kategorizaci rizika musí průběžně zajišťovat výrobce firewallu a mezi kategorie by měly patřit min.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anonymizační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hostování nevhodného nebo rizikového obsahu, zaparkované (nepoužívané) domény apod.</w:t>
      </w:r>
    </w:p>
    <w:p w14:paraId="2453A553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dostupné metody správy, monitoringu a auditu, konkrétně:</w:t>
      </w:r>
    </w:p>
    <w:p w14:paraId="37FA38D2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správa pomocí sériového a SSH terminálu, </w:t>
      </w:r>
    </w:p>
    <w:p w14:paraId="156297B3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podpora monitoringu protokoly SNMPv2 a v3, IPFIX,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NetFlow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2657A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zasílání provozních událostí od informativních po kritické protokolem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Syslog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ve strojově zpracovatelným formátu zpráv, tj. s rozlišením čísla události, popisu události, zdrojové/cílové IP adresy a portu a případně dalších relevantních metainformací (jméno uživatele, webová URL, zdrojová/cílová země)</w:t>
      </w:r>
    </w:p>
    <w:p w14:paraId="13DBBCAF" w14:textId="77777777" w:rsidR="00251CD5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pro kompletní správu emailové komunikace s těmito požadavky:</w:t>
      </w:r>
    </w:p>
    <w:p w14:paraId="6FE2445D" w14:textId="77777777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</w:t>
      </w:r>
      <w:r w:rsidRPr="006D510B">
        <w:rPr>
          <w:rFonts w:ascii="Times New Roman" w:hAnsi="Times New Roman" w:cs="Times New Roman"/>
          <w:sz w:val="24"/>
          <w:szCs w:val="24"/>
        </w:rPr>
        <w:t>příchozí i odchozí pošt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D5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59CDE" w14:textId="77777777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>podpor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510B">
        <w:rPr>
          <w:rFonts w:ascii="Times New Roman" w:hAnsi="Times New Roman" w:cs="Times New Roman"/>
          <w:sz w:val="24"/>
          <w:szCs w:val="24"/>
        </w:rPr>
        <w:t xml:space="preserve"> běžných zabezpečení – SPF, DKIM, DMARC </w:t>
      </w:r>
    </w:p>
    <w:p w14:paraId="133FDEDF" w14:textId="77777777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>obsahuje vestavěný antispam, anti-</w:t>
      </w:r>
      <w:proofErr w:type="spellStart"/>
      <w:r w:rsidRPr="006D510B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6D510B">
        <w:rPr>
          <w:rFonts w:ascii="Times New Roman" w:hAnsi="Times New Roman" w:cs="Times New Roman"/>
          <w:sz w:val="24"/>
          <w:szCs w:val="24"/>
        </w:rPr>
        <w:t xml:space="preserve">, antivir </w:t>
      </w:r>
    </w:p>
    <w:p w14:paraId="1455CBE9" w14:textId="77777777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 xml:space="preserve">vlastní pravidla na příjem i odesílání pošty </w:t>
      </w:r>
    </w:p>
    <w:p w14:paraId="3A7C5448" w14:textId="4AB9FA2D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 xml:space="preserve">komunikace jak s </w:t>
      </w:r>
      <w:proofErr w:type="spellStart"/>
      <w:r w:rsidRPr="006D510B">
        <w:rPr>
          <w:rFonts w:ascii="Times New Roman" w:hAnsi="Times New Roman" w:cs="Times New Roman"/>
          <w:sz w:val="24"/>
          <w:szCs w:val="24"/>
        </w:rPr>
        <w:t>onprem</w:t>
      </w:r>
      <w:proofErr w:type="spellEnd"/>
      <w:r w:rsidRPr="006D510B">
        <w:rPr>
          <w:rFonts w:ascii="Times New Roman" w:hAnsi="Times New Roman" w:cs="Times New Roman"/>
          <w:sz w:val="24"/>
          <w:szCs w:val="24"/>
        </w:rPr>
        <w:t xml:space="preserve"> řešeními</w:t>
      </w:r>
      <w:r w:rsidR="002F0231">
        <w:rPr>
          <w:rFonts w:ascii="Times New Roman" w:hAnsi="Times New Roman" w:cs="Times New Roman"/>
          <w:sz w:val="24"/>
          <w:szCs w:val="24"/>
        </w:rPr>
        <w:t>,</w:t>
      </w:r>
      <w:r w:rsidRPr="006D510B">
        <w:rPr>
          <w:rFonts w:ascii="Times New Roman" w:hAnsi="Times New Roman" w:cs="Times New Roman"/>
          <w:sz w:val="24"/>
          <w:szCs w:val="24"/>
        </w:rPr>
        <w:t xml:space="preserve"> tak MS365 </w:t>
      </w:r>
    </w:p>
    <w:p w14:paraId="4EBA0F32" w14:textId="77777777" w:rsidR="00251CD5" w:rsidRPr="006D510B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 xml:space="preserve">propojení s </w:t>
      </w:r>
      <w:proofErr w:type="spellStart"/>
      <w:r w:rsidRPr="006D510B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6D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0B">
        <w:rPr>
          <w:rFonts w:ascii="Times New Roman" w:hAnsi="Times New Roman" w:cs="Times New Roman"/>
          <w:sz w:val="24"/>
          <w:szCs w:val="24"/>
        </w:rPr>
        <w:t>Directory</w:t>
      </w:r>
      <w:proofErr w:type="spellEnd"/>
    </w:p>
    <w:p w14:paraId="52E5BE1D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funkce VPN s parametry:</w:t>
      </w:r>
    </w:p>
    <w:p w14:paraId="52BB4D47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schopnost (včetně licence, pokud je nutná) pro připojení poboček a případných dalších vzdálených lokalit v počtu min. 100 </w:t>
      </w:r>
    </w:p>
    <w:p w14:paraId="76908876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VPN spojení na bázi protokolu IPsec </w:t>
      </w:r>
    </w:p>
    <w:p w14:paraId="21D017BF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při vyjednávání spojení a následném šifrování provozu podpora kryptografické metody (IKEv2), protokolů AH, ESP, šifrovacích algoritmů AES-256 a 512,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hashe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SHA-256 a 512, výměny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Diffie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-Hellman s použitím bezpečných klíčů (min. 2048 bitů a eliptických křivek o délkách 256, 384 a 521 bitů), dopředné šifrování (forward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secrecy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s použitím DH a bezpečných klíčů již uvedených parametrů) a ověřování pomocí sdíleného klíče a digitálního certifikátu.</w:t>
      </w:r>
    </w:p>
    <w:p w14:paraId="472BBE0C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funkce softwarově definované konektivity (tzv. SD-WAN), která vzdáleným pobočkám umožní více souběžných VPN tunelů do centrálního firewallu. </w:t>
      </w:r>
    </w:p>
    <w:p w14:paraId="7426AD05" w14:textId="77777777" w:rsidR="00251CD5" w:rsidRPr="00B14AC6" w:rsidRDefault="00251CD5" w:rsidP="00251CD5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Požadována je schopnost realizace dvou základních scénářů: </w:t>
      </w:r>
    </w:p>
    <w:p w14:paraId="0AC890C8" w14:textId="77777777" w:rsidR="00251CD5" w:rsidRPr="00B14AC6" w:rsidRDefault="00251CD5" w:rsidP="00251CD5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1) Pobočka nedisponuje záložní konektivitou, je připojena dvěma souběžnými VPN tunely do dvou konektivit centrálního firewallu. </w:t>
      </w:r>
    </w:p>
    <w:p w14:paraId="4B66F4CA" w14:textId="3A8548D7" w:rsidR="00251CD5" w:rsidRPr="00B14AC6" w:rsidRDefault="00251CD5" w:rsidP="00251CD5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2) Pobočka disponuje záložní konektivitou, je připojena primární konektivitou do</w:t>
      </w:r>
      <w:r w:rsidR="005F6595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primární konektivity centrály a sekundární konektivitou do sekundární konektivity centrály. </w:t>
      </w:r>
    </w:p>
    <w:p w14:paraId="47C9C2B2" w14:textId="77777777" w:rsidR="00251CD5" w:rsidRPr="00DD53D6" w:rsidRDefault="00251CD5" w:rsidP="00C334E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A0464" w14:textId="0E1B61FF" w:rsidR="00251CD5" w:rsidRPr="00B14AC6" w:rsidRDefault="00251CD5" w:rsidP="00C334EB">
      <w:pPr>
        <w:pStyle w:val="Odstavecseseznamem"/>
        <w:spacing w:before="120" w:after="0" w:line="240" w:lineRule="auto"/>
        <w:jc w:val="both"/>
      </w:pPr>
      <w:r w:rsidRPr="00B14AC6">
        <w:rPr>
          <w:rFonts w:ascii="Times New Roman" w:hAnsi="Times New Roman" w:cs="Times New Roman"/>
          <w:sz w:val="24"/>
          <w:szCs w:val="24"/>
        </w:rPr>
        <w:t>V obou případech je pak vyjmenovaný business-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provoz na obou stranách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routovaný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pouze po těch VPN tunelech, které splňují administrátorem stanovené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tedy předem stanovenou kvalitu definovanou pomocí latence a ztrátovosti. Pokud ani jedna z linek parametry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nesplňuje, pak musí být routou s nižší prioritou stanovena </w:t>
      </w:r>
      <w:r w:rsidRPr="00B14AC6">
        <w:rPr>
          <w:rFonts w:ascii="Times New Roman" w:hAnsi="Times New Roman" w:cs="Times New Roman"/>
          <w:sz w:val="24"/>
          <w:szCs w:val="24"/>
        </w:rPr>
        <w:lastRenderedPageBreak/>
        <w:t xml:space="preserve">alternativní cesta více tolerantním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. Běžný provoz bude mít stanovený vlastní více tolerantní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. Nekritický provoz (např. zálohování, synchronizace aktualizací aplikací) musí být možné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routovat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pouze po záložním spojení, aby nebyla ovlivněna primární linka, a to jen pokud je primární linka dostupná. Pokud není, musí být nekritický provoz automaticky přerušen, aby nezatěžoval záložní linku.</w:t>
      </w:r>
    </w:p>
    <w:p w14:paraId="5A87624B" w14:textId="77777777" w:rsidR="00251CD5" w:rsidRPr="00B14AC6" w:rsidRDefault="00251CD5" w:rsidP="00DD53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V rámci dodávky firewallu (platí pro obě zařízení) je vyžadována technická podpora výrobce 24x7, hardwarová záruka a případné předplatné/licence výše uvedených požadovaných funkcionalit a bezpečnostních služeb, pokud je pro jejich plnou požadovanou funkčnost nutné, v délce trvání min. 60 měsíců.</w:t>
      </w:r>
    </w:p>
    <w:p w14:paraId="2D75B86E" w14:textId="5FF983A1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Součástí plnění je dodávka, instalace, parametrizace a konfigurace do ostrého produktivního provozu </w:t>
      </w:r>
      <w:r w:rsidR="00D24F03">
        <w:rPr>
          <w:rFonts w:ascii="Times New Roman" w:hAnsi="Times New Roman" w:cs="Times New Roman"/>
          <w:sz w:val="24"/>
          <w:szCs w:val="24"/>
        </w:rPr>
        <w:t>kupujícího</w:t>
      </w:r>
      <w:r w:rsidRPr="00B14AC6">
        <w:rPr>
          <w:rFonts w:ascii="Times New Roman" w:hAnsi="Times New Roman" w:cs="Times New Roman"/>
          <w:sz w:val="24"/>
          <w:szCs w:val="24"/>
        </w:rPr>
        <w:t xml:space="preserve">. Součástí těchto služeb je pak také konfigurace všech stávajících pravidel (firewall, NAT, VLAN atd.) a nastavení, které </w:t>
      </w:r>
      <w:r w:rsidR="00405F6A">
        <w:rPr>
          <w:rFonts w:ascii="Times New Roman" w:hAnsi="Times New Roman" w:cs="Times New Roman"/>
          <w:sz w:val="24"/>
          <w:szCs w:val="24"/>
        </w:rPr>
        <w:t>kupující</w:t>
      </w:r>
      <w:r w:rsidRPr="00B14AC6">
        <w:rPr>
          <w:rFonts w:ascii="Times New Roman" w:hAnsi="Times New Roman" w:cs="Times New Roman"/>
          <w:sz w:val="24"/>
          <w:szCs w:val="24"/>
        </w:rPr>
        <w:t xml:space="preserve"> využívá na stávajícím nahrazovaném řešení. Dále pak také nastavení logování veškerých síťových aktivit do SIEM systému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Logmanager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(včetně případné výroby odpovídajících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parserů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).</w:t>
      </w:r>
    </w:p>
    <w:p w14:paraId="183127BC" w14:textId="77777777" w:rsidR="00251CD5" w:rsidRPr="00FE5696" w:rsidRDefault="00251CD5" w:rsidP="00DD53D6">
      <w:pPr>
        <w:pStyle w:val="Odstavecseseznamem"/>
        <w:numPr>
          <w:ilvl w:val="0"/>
          <w:numId w:val="4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696">
        <w:rPr>
          <w:rFonts w:ascii="Times New Roman" w:hAnsi="Times New Roman" w:cs="Times New Roman"/>
          <w:b/>
          <w:bCs/>
          <w:sz w:val="24"/>
          <w:szCs w:val="24"/>
        </w:rPr>
        <w:t xml:space="preserve">SW pro </w:t>
      </w:r>
      <w:r w:rsidRPr="00D76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správu a monitoring provozu firewallů a související služby</w:t>
      </w:r>
    </w:p>
    <w:p w14:paraId="30CE0D9F" w14:textId="1330ECE6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Požadován je administračně-analytický SW nástroj pro centrální správu a monitoring (včetně reportingu) firewallů podle bodu 1. a dále s možností správy a monitoringu </w:t>
      </w:r>
      <w:r>
        <w:rPr>
          <w:rFonts w:ascii="Times New Roman" w:hAnsi="Times New Roman" w:cs="Times New Roman"/>
          <w:sz w:val="24"/>
          <w:szCs w:val="24"/>
        </w:rPr>
        <w:t xml:space="preserve">dalších </w:t>
      </w:r>
      <w:r w:rsidRPr="00B14AC6">
        <w:rPr>
          <w:rFonts w:ascii="Times New Roman" w:hAnsi="Times New Roman" w:cs="Times New Roman"/>
          <w:sz w:val="24"/>
          <w:szCs w:val="24"/>
        </w:rPr>
        <w:t xml:space="preserve">firewallů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Sonicwall</w:t>
      </w:r>
      <w:proofErr w:type="spellEnd"/>
      <w:r w:rsidRPr="00B14AC6">
        <w:rPr>
          <w:rFonts w:ascii="Times New Roman" w:hAnsi="Times New Roman" w:cs="Times New Roman"/>
        </w:rPr>
        <w:t xml:space="preserve"> </w:t>
      </w:r>
      <w:r w:rsidRPr="00B14AC6">
        <w:rPr>
          <w:rFonts w:ascii="Times New Roman" w:hAnsi="Times New Roman" w:cs="Times New Roman"/>
          <w:sz w:val="24"/>
          <w:szCs w:val="24"/>
        </w:rPr>
        <w:t>TZ4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B14AC6">
        <w:rPr>
          <w:rFonts w:ascii="Times New Roman" w:hAnsi="Times New Roman" w:cs="Times New Roman"/>
          <w:sz w:val="24"/>
          <w:szCs w:val="24"/>
        </w:rPr>
        <w:t xml:space="preserve"> a NSA </w:t>
      </w:r>
      <w:r>
        <w:rPr>
          <w:rFonts w:ascii="Times New Roman" w:hAnsi="Times New Roman" w:cs="Times New Roman"/>
          <w:sz w:val="24"/>
          <w:szCs w:val="24"/>
        </w:rPr>
        <w:t>2700</w:t>
      </w:r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Pr="00B14AC6">
        <w:rPr>
          <w:rFonts w:ascii="Times New Roman" w:hAnsi="Times New Roman" w:cs="Times New Roman"/>
          <w:sz w:val="24"/>
          <w:szCs w:val="24"/>
        </w:rPr>
        <w:t xml:space="preserve">implementovaných v prostředí </w:t>
      </w:r>
      <w:r w:rsidR="00886C3F">
        <w:rPr>
          <w:rFonts w:ascii="Times New Roman" w:hAnsi="Times New Roman" w:cs="Times New Roman"/>
          <w:sz w:val="24"/>
          <w:szCs w:val="24"/>
        </w:rPr>
        <w:t>kupujícího</w:t>
      </w:r>
      <w:r w:rsidRPr="00B14A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D5AAF" w14:textId="77777777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Funkční požadavky pro oblast centrální správy:</w:t>
      </w:r>
    </w:p>
    <w:p w14:paraId="0BBCE82F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Komplexní plnohodnotná správa všech zařízení v jednotném rozhraní</w:t>
      </w:r>
    </w:p>
    <w:p w14:paraId="6924093F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Správa konfiguračních možností jednotlivých firewallů samostatně, ale i hromadně formou administrátorem definovatelných šablon, min. v tomto rozsahu nastavení:</w:t>
      </w:r>
    </w:p>
    <w:p w14:paraId="26839C3E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firewallových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routovacích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a NAT pravidel,</w:t>
      </w:r>
    </w:p>
    <w:p w14:paraId="220DAEA6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adresních a portových objektů, </w:t>
      </w:r>
    </w:p>
    <w:p w14:paraId="01F1CBA8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webových a aplikačních pravidel, </w:t>
      </w:r>
    </w:p>
    <w:p w14:paraId="341EAC19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antivirových výjimek, </w:t>
      </w:r>
    </w:p>
    <w:p w14:paraId="17BCFA2D" w14:textId="03A91C5B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botnet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filtrů, </w:t>
      </w:r>
    </w:p>
    <w:p w14:paraId="47D65894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VPN tunelů,</w:t>
      </w:r>
    </w:p>
    <w:p w14:paraId="05110381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dalších nastavení jako jsou např. lokální účty ve firewallu za účelem konfigurace správců pro případ ztráty spojení s centrálním LDAP </w:t>
      </w:r>
    </w:p>
    <w:p w14:paraId="7ED52EE2" w14:textId="69C8B05D" w:rsidR="00251CD5" w:rsidRPr="00DD53D6" w:rsidRDefault="00251CD5" w:rsidP="00C334EB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Šablony musí umožňovat uvést u IP adres v objektech i konfiguraci VPN (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autentikace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protistran) určitou formu a syntaxi zástupných symbolů, které budou vyhodnoceny pro</w:t>
      </w:r>
      <w:r w:rsidR="00A5603E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konkrétní firewall. Například IP adresa 10.&lt;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CisloPobocky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&gt;.100.1 by měla zástupný symbol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CisloPobocky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který by se pro příklad v konkrétním firewallu pobočky č. 5 přeložil a reprezentoval v něm odpovídající IP adresu, tedy např. 10.5.100.1. Obdobný způsob musí být použitelný pro konfiguraci identifikátorů protistran při</w:t>
      </w:r>
      <w:r w:rsidR="00A5603E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vyjednávání VPN.</w:t>
      </w:r>
    </w:p>
    <w:p w14:paraId="53749C3F" w14:textId="77777777" w:rsidR="00251CD5" w:rsidRPr="00B14AC6" w:rsidRDefault="00251CD5" w:rsidP="00DD53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Funkční požadavky pro oblast monitoringu (včetně reportingu)</w:t>
      </w:r>
    </w:p>
    <w:p w14:paraId="3B9AF860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agregace, sumarizace a reporting e-mailem ve vhodném formátu (např. PDF) </w:t>
      </w:r>
    </w:p>
    <w:p w14:paraId="43374C66" w14:textId="76FF1503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statistiky využívání sítě, s možností reportování nejvíce využívaných typů provozu seskupovaných dle detekovaných aplikací, dle zdrojových a cílových IP adres, dle</w:t>
      </w:r>
      <w:r w:rsidR="00BB6D57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blokovaných a detekovaných virů, útoků a dalších hrozeb, dle konkrétních uživatelů apod., minimálně však v tomto rozsahu. </w:t>
      </w:r>
    </w:p>
    <w:p w14:paraId="3B7AB082" w14:textId="349F84C5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lastRenderedPageBreak/>
        <w:t>rozhraní, ve kterém je možné dohledávat konkrétní provoz filtrováním dle zemí původu, uživatelů, aplikací atd., s případným dohledáváním až na úroveň jednotlivých spojení a</w:t>
      </w:r>
      <w:r w:rsidR="00083193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případných otevíraných URL </w:t>
      </w:r>
    </w:p>
    <w:p w14:paraId="6CD241B1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zpětně musí být možné dohledat provoz za dobu min. 12 měsíců</w:t>
      </w:r>
    </w:p>
    <w:p w14:paraId="592F14AB" w14:textId="77777777" w:rsidR="00251CD5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jednotné rozhraní s možností sledovat provoz napříč všemi firewally i pro konkrétní zvolený firewall</w:t>
      </w:r>
    </w:p>
    <w:p w14:paraId="79DA99C9" w14:textId="7E8A4242" w:rsidR="009D1480" w:rsidRPr="009B5747" w:rsidRDefault="00251CD5" w:rsidP="009B574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1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SW </w:t>
      </w:r>
      <w:r w:rsidRPr="00B14AC6">
        <w:rPr>
          <w:rFonts w:ascii="Times New Roman" w:hAnsi="Times New Roman" w:cs="Times New Roman"/>
          <w:sz w:val="24"/>
          <w:szCs w:val="24"/>
        </w:rPr>
        <w:t>je vyžadována technická podpora výrobce a případné předplatné/licence výše uvedených požadovaných funkcionalit, pokud je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uvedenou</w:t>
      </w:r>
      <w:r w:rsidRPr="00B14AC6">
        <w:rPr>
          <w:rFonts w:ascii="Times New Roman" w:hAnsi="Times New Roman" w:cs="Times New Roman"/>
          <w:sz w:val="24"/>
          <w:szCs w:val="24"/>
        </w:rPr>
        <w:t xml:space="preserve"> plnou požadovanou funkčnost nutné, v délce trvání min. 60 měsíců.</w:t>
      </w:r>
    </w:p>
    <w:sectPr w:rsidR="009D1480" w:rsidRPr="009B5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3A7B" w14:textId="77777777" w:rsidR="00220891" w:rsidRDefault="00220891" w:rsidP="00E82B9E">
      <w:pPr>
        <w:spacing w:after="0" w:line="240" w:lineRule="auto"/>
      </w:pPr>
      <w:r>
        <w:separator/>
      </w:r>
    </w:p>
  </w:endnote>
  <w:endnote w:type="continuationSeparator" w:id="0">
    <w:p w14:paraId="4CBA837D" w14:textId="77777777" w:rsidR="00220891" w:rsidRDefault="00220891" w:rsidP="00E8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AD08" w14:textId="77777777" w:rsidR="008B20B6" w:rsidRDefault="008B20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D09E" w14:textId="77777777" w:rsidR="008B20B6" w:rsidRDefault="008B20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D482" w14:textId="77777777" w:rsidR="008B20B6" w:rsidRDefault="008B2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68FB" w14:textId="77777777" w:rsidR="00220891" w:rsidRDefault="00220891" w:rsidP="00E82B9E">
      <w:pPr>
        <w:spacing w:after="0" w:line="240" w:lineRule="auto"/>
      </w:pPr>
      <w:r>
        <w:separator/>
      </w:r>
    </w:p>
  </w:footnote>
  <w:footnote w:type="continuationSeparator" w:id="0">
    <w:p w14:paraId="5F1B9CEB" w14:textId="77777777" w:rsidR="00220891" w:rsidRDefault="00220891" w:rsidP="00E8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CB39" w14:textId="77777777" w:rsidR="008B20B6" w:rsidRDefault="008B20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C20B" w14:textId="77777777" w:rsidR="005F77DB" w:rsidRPr="005F77DB" w:rsidRDefault="005F77DB" w:rsidP="005F77DB">
    <w:pPr>
      <w:pStyle w:val="Zhlav"/>
      <w:rPr>
        <w:rFonts w:ascii="Times New Roman" w:hAnsi="Times New Roman" w:cs="Times New Roman"/>
        <w:i/>
      </w:rPr>
    </w:pPr>
    <w:r w:rsidRPr="005F77DB">
      <w:rPr>
        <w:rFonts w:ascii="Times New Roman" w:hAnsi="Times New Roman" w:cs="Times New Roman"/>
        <w:i/>
      </w:rPr>
      <w:t>Česká školní inspekce</w:t>
    </w:r>
    <w:r w:rsidRPr="005F77DB">
      <w:rPr>
        <w:rFonts w:ascii="Times New Roman" w:hAnsi="Times New Roman" w:cs="Times New Roman"/>
        <w:i/>
      </w:rPr>
      <w:tab/>
    </w:r>
    <w:r w:rsidRPr="005F77DB">
      <w:rPr>
        <w:rFonts w:ascii="Times New Roman" w:hAnsi="Times New Roman" w:cs="Times New Roman"/>
        <w:i/>
      </w:rPr>
      <w:tab/>
      <w:t>Obnova firewallů II.</w:t>
    </w:r>
  </w:p>
  <w:p w14:paraId="10D759C2" w14:textId="453415C9" w:rsidR="00E82B9E" w:rsidRPr="005F77DB" w:rsidRDefault="005F77DB" w:rsidP="005F77DB">
    <w:pPr>
      <w:pStyle w:val="Zhlav"/>
    </w:pPr>
    <w:r w:rsidRPr="005F77DB">
      <w:rPr>
        <w:rFonts w:ascii="Times New Roman" w:hAnsi="Times New Roman" w:cs="Times New Roman"/>
        <w:i/>
      </w:rPr>
      <w:t>ČŠIG-S-91/</w:t>
    </w:r>
    <w:proofErr w:type="gramStart"/>
    <w:r w:rsidRPr="005F77DB">
      <w:rPr>
        <w:rFonts w:ascii="Times New Roman" w:hAnsi="Times New Roman" w:cs="Times New Roman"/>
        <w:i/>
      </w:rPr>
      <w:t>25-G2</w:t>
    </w:r>
    <w:proofErr w:type="gramEnd"/>
    <w:r w:rsidRPr="005F77DB">
      <w:rPr>
        <w:rFonts w:ascii="Times New Roman" w:hAnsi="Times New Roman" w:cs="Times New Roman"/>
        <w:i/>
      </w:rPr>
      <w:tab/>
    </w:r>
    <w:r w:rsidRPr="005F77DB">
      <w:rPr>
        <w:rFonts w:ascii="Times New Roman" w:hAnsi="Times New Roman" w:cs="Times New Roman"/>
        <w:i/>
      </w:rPr>
      <w:tab/>
      <w:t>ČŠIG-1041/25-G2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2755" w14:textId="77777777" w:rsidR="008B20B6" w:rsidRDefault="008B20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D58"/>
    <w:multiLevelType w:val="hybridMultilevel"/>
    <w:tmpl w:val="2B26AFF2"/>
    <w:lvl w:ilvl="0" w:tplc="75025B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56EF"/>
    <w:multiLevelType w:val="hybridMultilevel"/>
    <w:tmpl w:val="40E03A28"/>
    <w:lvl w:ilvl="0" w:tplc="73027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B0E"/>
    <w:multiLevelType w:val="hybridMultilevel"/>
    <w:tmpl w:val="9DA09996"/>
    <w:lvl w:ilvl="0" w:tplc="DC5C31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C88"/>
    <w:multiLevelType w:val="hybridMultilevel"/>
    <w:tmpl w:val="ACD040EA"/>
    <w:lvl w:ilvl="0" w:tplc="AF2847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21AD9"/>
    <w:multiLevelType w:val="hybridMultilevel"/>
    <w:tmpl w:val="9CC470CE"/>
    <w:lvl w:ilvl="0" w:tplc="0240C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00CE2"/>
    <w:multiLevelType w:val="hybridMultilevel"/>
    <w:tmpl w:val="1812D6CE"/>
    <w:lvl w:ilvl="0" w:tplc="5A9466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13832">
    <w:abstractNumId w:val="3"/>
  </w:num>
  <w:num w:numId="2" w16cid:durableId="506098691">
    <w:abstractNumId w:val="1"/>
  </w:num>
  <w:num w:numId="3" w16cid:durableId="1196119548">
    <w:abstractNumId w:val="5"/>
  </w:num>
  <w:num w:numId="4" w16cid:durableId="78914267">
    <w:abstractNumId w:val="4"/>
  </w:num>
  <w:num w:numId="5" w16cid:durableId="1491828282">
    <w:abstractNumId w:val="0"/>
  </w:num>
  <w:num w:numId="6" w16cid:durableId="152436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71"/>
    <w:rsid w:val="00023890"/>
    <w:rsid w:val="00061DFD"/>
    <w:rsid w:val="00065DB4"/>
    <w:rsid w:val="00083193"/>
    <w:rsid w:val="0009414E"/>
    <w:rsid w:val="000B2D8F"/>
    <w:rsid w:val="000C0978"/>
    <w:rsid w:val="000C1683"/>
    <w:rsid w:val="00106629"/>
    <w:rsid w:val="00120513"/>
    <w:rsid w:val="001211A3"/>
    <w:rsid w:val="00121E53"/>
    <w:rsid w:val="00124B30"/>
    <w:rsid w:val="001500E8"/>
    <w:rsid w:val="001510C8"/>
    <w:rsid w:val="0015661A"/>
    <w:rsid w:val="00162B20"/>
    <w:rsid w:val="001639EC"/>
    <w:rsid w:val="00187AEE"/>
    <w:rsid w:val="00207356"/>
    <w:rsid w:val="002204A0"/>
    <w:rsid w:val="00220891"/>
    <w:rsid w:val="00240DBF"/>
    <w:rsid w:val="00251CD5"/>
    <w:rsid w:val="002B69CA"/>
    <w:rsid w:val="002C792F"/>
    <w:rsid w:val="002F0231"/>
    <w:rsid w:val="00405F6A"/>
    <w:rsid w:val="0042235F"/>
    <w:rsid w:val="004B5C49"/>
    <w:rsid w:val="004D4888"/>
    <w:rsid w:val="004F3C04"/>
    <w:rsid w:val="005103E4"/>
    <w:rsid w:val="00564575"/>
    <w:rsid w:val="00571EDD"/>
    <w:rsid w:val="00592F52"/>
    <w:rsid w:val="005B61E7"/>
    <w:rsid w:val="005B7FB2"/>
    <w:rsid w:val="005E2290"/>
    <w:rsid w:val="005F6595"/>
    <w:rsid w:val="005F77DB"/>
    <w:rsid w:val="0068064B"/>
    <w:rsid w:val="006B4A38"/>
    <w:rsid w:val="006C339A"/>
    <w:rsid w:val="006E0B92"/>
    <w:rsid w:val="006E113F"/>
    <w:rsid w:val="006E47CB"/>
    <w:rsid w:val="00713E68"/>
    <w:rsid w:val="00744D2F"/>
    <w:rsid w:val="00750279"/>
    <w:rsid w:val="007541FF"/>
    <w:rsid w:val="00794DC6"/>
    <w:rsid w:val="007A4BEE"/>
    <w:rsid w:val="007C69A0"/>
    <w:rsid w:val="007E0B19"/>
    <w:rsid w:val="008447EC"/>
    <w:rsid w:val="00886C3F"/>
    <w:rsid w:val="008B20B6"/>
    <w:rsid w:val="008C7413"/>
    <w:rsid w:val="00943B65"/>
    <w:rsid w:val="009701FA"/>
    <w:rsid w:val="009744AC"/>
    <w:rsid w:val="00974C09"/>
    <w:rsid w:val="00993DB5"/>
    <w:rsid w:val="009A5C5F"/>
    <w:rsid w:val="009B5747"/>
    <w:rsid w:val="009B66E0"/>
    <w:rsid w:val="009D1480"/>
    <w:rsid w:val="009E641F"/>
    <w:rsid w:val="00A46F25"/>
    <w:rsid w:val="00A5603E"/>
    <w:rsid w:val="00A93F2A"/>
    <w:rsid w:val="00AF365B"/>
    <w:rsid w:val="00B2327A"/>
    <w:rsid w:val="00B266E7"/>
    <w:rsid w:val="00B95182"/>
    <w:rsid w:val="00BB45BF"/>
    <w:rsid w:val="00BB6D57"/>
    <w:rsid w:val="00BE6F5A"/>
    <w:rsid w:val="00BF27C2"/>
    <w:rsid w:val="00BF3039"/>
    <w:rsid w:val="00C150D8"/>
    <w:rsid w:val="00C334EB"/>
    <w:rsid w:val="00C34A94"/>
    <w:rsid w:val="00C46160"/>
    <w:rsid w:val="00C76FEF"/>
    <w:rsid w:val="00C95090"/>
    <w:rsid w:val="00CA5C3D"/>
    <w:rsid w:val="00D04F49"/>
    <w:rsid w:val="00D24F03"/>
    <w:rsid w:val="00D41976"/>
    <w:rsid w:val="00D60E0A"/>
    <w:rsid w:val="00D64CA2"/>
    <w:rsid w:val="00D66551"/>
    <w:rsid w:val="00D76988"/>
    <w:rsid w:val="00DC5470"/>
    <w:rsid w:val="00DD3684"/>
    <w:rsid w:val="00DD53D6"/>
    <w:rsid w:val="00E04DF4"/>
    <w:rsid w:val="00E10C9D"/>
    <w:rsid w:val="00E33DD4"/>
    <w:rsid w:val="00E44311"/>
    <w:rsid w:val="00E73271"/>
    <w:rsid w:val="00E82B9E"/>
    <w:rsid w:val="00F01470"/>
    <w:rsid w:val="00F04418"/>
    <w:rsid w:val="00F05C19"/>
    <w:rsid w:val="00F11145"/>
    <w:rsid w:val="00F34C8A"/>
    <w:rsid w:val="00F427C7"/>
    <w:rsid w:val="00FE005B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02E5"/>
  <w15:chartTrackingRefBased/>
  <w15:docId w15:val="{B6C2BA8D-B356-4A70-9BE9-F8A85EA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PA Major Section,Sekce,podnadpis,SEKCE,2,sub-sect,h2,A,V_Head2,V_Head21,V_Head22,V_Head23,V_Head211,V_Head221,V_Head24,V_Head212,V_Head222,V_Head231,V_Head2111,V_Head2211,V_Head25,V_Head213,V_Head223,V_Head232,V_Head2112,V_Head2212,V_Head26"/>
    <w:basedOn w:val="Normln"/>
    <w:next w:val="Normln"/>
    <w:link w:val="Nadpis2Char"/>
    <w:unhideWhenUsed/>
    <w:qFormat/>
    <w:rsid w:val="00E7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73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73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73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73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E73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E73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E73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PA Major Section Char,Sekce Char,podnadpis Char,SEKCE Char,2 Char,sub-sect Char,h2 Char,A Char,V_Head2 Char,V_Head21 Char,V_Head22 Char,V_Head23 Char,V_Head211 Char,V_Head221 Char,V_Head24 Char,V_Head212 Char,V_Head222 Char,V_Head231 Char"/>
    <w:basedOn w:val="Standardnpsmoodstavce"/>
    <w:link w:val="Nadpis2"/>
    <w:uiPriority w:val="9"/>
    <w:semiHidden/>
    <w:rsid w:val="00E7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2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2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2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2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2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2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3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3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32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32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32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32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327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2B9E"/>
  </w:style>
  <w:style w:type="paragraph" w:styleId="Zpat">
    <w:name w:val="footer"/>
    <w:basedOn w:val="Normln"/>
    <w:link w:val="ZpatChar"/>
    <w:uiPriority w:val="99"/>
    <w:unhideWhenUsed/>
    <w:rsid w:val="00E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B9E"/>
  </w:style>
  <w:style w:type="paragraph" w:styleId="Revize">
    <w:name w:val="Revision"/>
    <w:hidden/>
    <w:uiPriority w:val="99"/>
    <w:semiHidden/>
    <w:rsid w:val="00D6655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46F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6F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F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F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CF9E-D626-4E3E-B457-FE7D5DE0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cp:lastPrinted>2024-11-27T12:50:00Z</cp:lastPrinted>
  <dcterms:created xsi:type="dcterms:W3CDTF">2025-01-23T08:12:00Z</dcterms:created>
  <dcterms:modified xsi:type="dcterms:W3CDTF">2025-01-23T08:12:00Z</dcterms:modified>
</cp:coreProperties>
</file>