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60D" w:rsidRDefault="00BF3FB0" w:rsidP="0096460D">
      <w:pPr>
        <w:spacing w:before="1200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noProof/>
          <w:kern w:val="32"/>
          <w:sz w:val="28"/>
          <w:szCs w:val="28"/>
          <w:lang w:eastAsia="cs-CZ"/>
        </w:rPr>
        <w:drawing>
          <wp:inline distT="0" distB="0" distL="0" distR="0" wp14:anchorId="6FB3F1F3" wp14:editId="2AAE41EB">
            <wp:extent cx="1900800" cy="50400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800" cy="50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50B2" w:rsidRDefault="001150B2" w:rsidP="001150B2">
      <w:pPr>
        <w:pStyle w:val="Nzev"/>
        <w:spacing w:before="720" w:after="240"/>
        <w:rPr>
          <w:rFonts w:ascii="Times New Roman" w:hAnsi="Times New Roman"/>
          <w:b w:val="0"/>
          <w:sz w:val="24"/>
          <w:szCs w:val="24"/>
        </w:rPr>
      </w:pPr>
      <w:r w:rsidRPr="001150B2">
        <w:rPr>
          <w:rStyle w:val="NzevChar"/>
          <w:b/>
          <w:sz w:val="28"/>
          <w:szCs w:val="28"/>
        </w:rPr>
        <w:t>Smlouva o poskytnutí služby</w:t>
      </w:r>
      <w:r w:rsidRPr="001150B2">
        <w:rPr>
          <w:rFonts w:ascii="Times New Roman" w:hAnsi="Times New Roman"/>
          <w:b w:val="0"/>
          <w:sz w:val="28"/>
          <w:szCs w:val="28"/>
        </w:rPr>
        <w:br/>
      </w:r>
      <w:r w:rsidRPr="00E13FF0">
        <w:rPr>
          <w:rFonts w:ascii="Times New Roman" w:hAnsi="Times New Roman"/>
          <w:b w:val="0"/>
          <w:sz w:val="24"/>
          <w:szCs w:val="24"/>
        </w:rPr>
        <w:t>uzavřená podle § 2586 a násl. a § 2358 a násl. zákona č. 89/2012 Sb.,</w:t>
      </w:r>
      <w:r w:rsidRPr="00E13FF0">
        <w:rPr>
          <w:rFonts w:ascii="Times New Roman" w:hAnsi="Times New Roman"/>
          <w:b w:val="0"/>
          <w:sz w:val="24"/>
          <w:szCs w:val="24"/>
        </w:rPr>
        <w:br/>
        <w:t>občanský zákoník</w:t>
      </w:r>
    </w:p>
    <w:p w:rsidR="001150B2" w:rsidRPr="001150B2" w:rsidRDefault="001150B2" w:rsidP="001150B2">
      <w:pPr>
        <w:rPr>
          <w:lang w:eastAsia="cs-CZ"/>
        </w:rPr>
      </w:pPr>
    </w:p>
    <w:p w:rsidR="00F14DE9" w:rsidRPr="00224B41" w:rsidRDefault="00F14DE9" w:rsidP="00F14DE9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224B41">
        <w:rPr>
          <w:rFonts w:ascii="Times New Roman" w:hAnsi="Times New Roman" w:cs="Times New Roman"/>
          <w:sz w:val="24"/>
          <w:szCs w:val="24"/>
        </w:rPr>
        <w:br/>
        <w:t>Smluvní strany</w:t>
      </w:r>
    </w:p>
    <w:p w:rsidR="00F14DE9" w:rsidRPr="00224B41" w:rsidRDefault="00F14DE9" w:rsidP="00F14DE9">
      <w:pPr>
        <w:spacing w:before="360"/>
      </w:pPr>
      <w:r w:rsidRPr="00224B41">
        <w:rPr>
          <w:b/>
        </w:rPr>
        <w:t>Česká republika – Česká školní inspekce</w:t>
      </w:r>
    </w:p>
    <w:p w:rsidR="00F14DE9" w:rsidRPr="00224B41" w:rsidRDefault="00F14DE9" w:rsidP="00F14DE9">
      <w:pPr>
        <w:spacing w:before="0"/>
        <w:ind w:left="2552" w:hanging="2552"/>
      </w:pPr>
      <w:r w:rsidRPr="00224B41">
        <w:t>sídlo:</w:t>
      </w:r>
      <w:r w:rsidRPr="00224B41">
        <w:tab/>
        <w:t>Fráni</w:t>
      </w:r>
      <w:r w:rsidR="00202D37" w:rsidRPr="00224B41">
        <w:t xml:space="preserve"> Šrám</w:t>
      </w:r>
      <w:r w:rsidRPr="00224B41">
        <w:t>ka 37, 150 21 Praha 5</w:t>
      </w:r>
    </w:p>
    <w:p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  <w:t xml:space="preserve">Mgr. </w:t>
      </w:r>
      <w:r w:rsidR="002B3CBA" w:rsidRPr="00224B41">
        <w:t>Tomáš Zatloukal, ústřední školní inspektor</w:t>
      </w:r>
    </w:p>
    <w:p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  <w:t>00638994</w:t>
      </w:r>
    </w:p>
    <w:p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  <w:t>ČNB, Praha 1, číslo účtu: 7429061/0710</w:t>
      </w:r>
    </w:p>
    <w:p w:rsidR="00266B8D" w:rsidRPr="000B5B45" w:rsidRDefault="001C5F87" w:rsidP="001E5E20">
      <w:pPr>
        <w:spacing w:before="0"/>
        <w:ind w:left="2552" w:hanging="2552"/>
      </w:pPr>
      <w:r>
        <w:t>kontaktní osoba:</w:t>
      </w:r>
      <w:r>
        <w:rPr>
          <w:rStyle w:val="Hypertextovodkaz"/>
          <w:u w:val="none"/>
        </w:rPr>
        <w:tab/>
      </w:r>
      <w:r w:rsidR="00567C08">
        <w:t>PhDr. Josef Basl, Ph.D., oprávněný k podpisu předávacího protokolu</w:t>
      </w:r>
    </w:p>
    <w:p w:rsidR="00BD121A" w:rsidRPr="000B5B45" w:rsidRDefault="004D30EF" w:rsidP="00BD121A">
      <w:pPr>
        <w:spacing w:before="0"/>
        <w:ind w:left="2552" w:hanging="2552"/>
        <w:rPr>
          <w:rStyle w:val="Hypertextovodkaz"/>
          <w:color w:val="auto"/>
          <w:u w:val="none"/>
        </w:rPr>
      </w:pPr>
      <w:r w:rsidRPr="000B5B45">
        <w:t xml:space="preserve">e-mail: </w:t>
      </w:r>
      <w:r w:rsidR="00266B8D" w:rsidRPr="000B5B45">
        <w:tab/>
      </w:r>
      <w:r w:rsidR="00567C08">
        <w:t>josef.basl</w:t>
      </w:r>
      <w:r w:rsidR="00BD121A" w:rsidRPr="000B5B45">
        <w:t>@csicr.cz</w:t>
      </w:r>
    </w:p>
    <w:p w:rsidR="00B96155" w:rsidRPr="000B5B45" w:rsidRDefault="00B96155" w:rsidP="001E5E20">
      <w:pPr>
        <w:spacing w:before="0"/>
        <w:ind w:left="2552" w:hanging="2552"/>
      </w:pPr>
      <w:r w:rsidRPr="000B5B45">
        <w:rPr>
          <w:rStyle w:val="Hypertextovodkaz"/>
          <w:color w:val="auto"/>
          <w:u w:val="none"/>
        </w:rPr>
        <w:t>tel</w:t>
      </w:r>
      <w:r w:rsidR="006C66F0" w:rsidRPr="000B5B45">
        <w:rPr>
          <w:rStyle w:val="Hypertextovodkaz"/>
          <w:color w:val="auto"/>
          <w:u w:val="none"/>
        </w:rPr>
        <w:t>:</w:t>
      </w:r>
      <w:r w:rsidRPr="000B5B45">
        <w:rPr>
          <w:rStyle w:val="Hypertextovodkaz"/>
          <w:color w:val="auto"/>
          <w:u w:val="none"/>
        </w:rPr>
        <w:tab/>
        <w:t>+420</w:t>
      </w:r>
      <w:r w:rsidR="00F050F6" w:rsidRPr="000B5B45">
        <w:rPr>
          <w:rStyle w:val="Hypertextovodkaz"/>
          <w:color w:val="auto"/>
          <w:u w:val="none"/>
        </w:rPr>
        <w:t xml:space="preserve"> 251 023 </w:t>
      </w:r>
      <w:r w:rsidR="00567C08">
        <w:rPr>
          <w:rStyle w:val="Hypertextovodkaz"/>
          <w:color w:val="auto"/>
          <w:u w:val="none"/>
        </w:rPr>
        <w:t>110</w:t>
      </w:r>
    </w:p>
    <w:p w:rsidR="00F14DE9" w:rsidRPr="00224B41" w:rsidRDefault="00F14DE9" w:rsidP="00F14DE9">
      <w:r w:rsidRPr="000B5B45">
        <w:t>jako „</w:t>
      </w:r>
      <w:r w:rsidR="009A1CD8" w:rsidRPr="000B5B45">
        <w:t>objednatel</w:t>
      </w:r>
      <w:r w:rsidRPr="000B5B45">
        <w:t>“</w:t>
      </w:r>
    </w:p>
    <w:p w:rsidR="00F14DE9" w:rsidRPr="00224B41" w:rsidRDefault="00F14DE9" w:rsidP="00F14DE9">
      <w:pPr>
        <w:spacing w:before="240" w:after="240"/>
      </w:pPr>
      <w:r w:rsidRPr="00224B41">
        <w:t>a</w:t>
      </w:r>
    </w:p>
    <w:p w:rsidR="00F14DE9" w:rsidRPr="00224B41" w:rsidRDefault="00F14DE9" w:rsidP="00F14DE9">
      <w:r w:rsidRPr="00224B41">
        <w:rPr>
          <w:b/>
        </w:rPr>
        <w:t>…</w:t>
      </w:r>
    </w:p>
    <w:p w:rsidR="00F14DE9" w:rsidRPr="00224B41" w:rsidRDefault="00F14DE9" w:rsidP="00BD121A">
      <w:pPr>
        <w:spacing w:before="0"/>
      </w:pPr>
      <w:r w:rsidRPr="00224B41">
        <w:t>sídlo:</w:t>
      </w:r>
      <w:r w:rsidRPr="00224B41">
        <w:tab/>
      </w:r>
    </w:p>
    <w:p w:rsidR="00F14DE9" w:rsidRPr="00224B41" w:rsidRDefault="0061514A" w:rsidP="00F14DE9">
      <w:pPr>
        <w:spacing w:before="0"/>
        <w:ind w:left="2552" w:hanging="2552"/>
      </w:pPr>
      <w:r w:rsidRPr="00224B41">
        <w:t>zastupující</w:t>
      </w:r>
      <w:r w:rsidR="00F14DE9" w:rsidRPr="00224B41">
        <w:t>:</w:t>
      </w:r>
      <w:r w:rsidR="00F14DE9" w:rsidRPr="00224B41">
        <w:tab/>
      </w:r>
    </w:p>
    <w:p w:rsidR="00F14DE9" w:rsidRPr="00224B41" w:rsidRDefault="00F14DE9" w:rsidP="00F14DE9">
      <w:pPr>
        <w:spacing w:before="0"/>
        <w:ind w:left="2552" w:hanging="2552"/>
      </w:pPr>
      <w:r w:rsidRPr="00224B41">
        <w:t>IČ:</w:t>
      </w:r>
      <w:r w:rsidRPr="00224B41">
        <w:tab/>
      </w:r>
    </w:p>
    <w:p w:rsidR="00F14DE9" w:rsidRPr="00224B41" w:rsidRDefault="00F14DE9" w:rsidP="00F14DE9">
      <w:pPr>
        <w:spacing w:before="0"/>
        <w:ind w:left="2552" w:hanging="2552"/>
      </w:pPr>
      <w:r w:rsidRPr="00224B41">
        <w:t xml:space="preserve">zapsaná v obchodním rejstříku vedeném … soudem v </w:t>
      </w:r>
      <w:r w:rsidRPr="00224B41">
        <w:softHyphen/>
      </w:r>
      <w:r w:rsidRPr="00224B41">
        <w:softHyphen/>
        <w:t>……, oddíl ……, vložka ……</w:t>
      </w:r>
    </w:p>
    <w:p w:rsidR="00F14DE9" w:rsidRPr="00224B41" w:rsidRDefault="00F14DE9" w:rsidP="00F14DE9">
      <w:pPr>
        <w:spacing w:before="0"/>
        <w:ind w:left="2552" w:hanging="2552"/>
      </w:pPr>
      <w:r w:rsidRPr="00224B41">
        <w:t>bankovní spojení:</w:t>
      </w:r>
      <w:r w:rsidRPr="00224B41">
        <w:tab/>
      </w:r>
    </w:p>
    <w:p w:rsidR="00266B8D" w:rsidRDefault="00F14DE9" w:rsidP="001E5E20">
      <w:pPr>
        <w:spacing w:before="0"/>
        <w:ind w:left="2552" w:hanging="2552"/>
      </w:pPr>
      <w:r w:rsidRPr="00224B41">
        <w:t>kontaktní osoba:</w:t>
      </w:r>
      <w:r w:rsidRPr="00224B41">
        <w:tab/>
      </w:r>
      <w:r w:rsidR="002F08B2" w:rsidRPr="00224B41">
        <w:tab/>
      </w:r>
    </w:p>
    <w:p w:rsidR="00F14DE9" w:rsidRDefault="002F08B2" w:rsidP="001E5E20">
      <w:pPr>
        <w:spacing w:before="0"/>
        <w:ind w:left="2552" w:hanging="2552"/>
      </w:pPr>
      <w:r w:rsidRPr="00224B41">
        <w:t>e-mail:</w:t>
      </w:r>
    </w:p>
    <w:p w:rsidR="00B96155" w:rsidRPr="001E5E20" w:rsidRDefault="00B96155" w:rsidP="001E5E20">
      <w:pPr>
        <w:spacing w:before="0"/>
        <w:ind w:left="2552" w:hanging="2552"/>
      </w:pPr>
      <w:r>
        <w:t>tel:</w:t>
      </w:r>
    </w:p>
    <w:p w:rsidR="00F14DE9" w:rsidRPr="007C7ED6" w:rsidRDefault="003572AD" w:rsidP="00F14DE9">
      <w:pPr>
        <w:rPr>
          <w:sz w:val="22"/>
          <w:szCs w:val="22"/>
        </w:rPr>
      </w:pPr>
      <w:r>
        <w:rPr>
          <w:sz w:val="22"/>
          <w:szCs w:val="22"/>
        </w:rPr>
        <w:t>jako „dodavatel</w:t>
      </w:r>
      <w:r w:rsidR="00F14DE9" w:rsidRPr="007C7ED6">
        <w:rPr>
          <w:sz w:val="22"/>
          <w:szCs w:val="22"/>
        </w:rPr>
        <w:t>“</w:t>
      </w:r>
    </w:p>
    <w:p w:rsidR="00F14DE9" w:rsidRPr="007C7ED6" w:rsidRDefault="0096460D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F14DE9" w:rsidRPr="007C7ED6">
        <w:rPr>
          <w:rFonts w:ascii="Times New Roman" w:hAnsi="Times New Roman" w:cs="Times New Roman"/>
          <w:sz w:val="24"/>
          <w:szCs w:val="24"/>
        </w:rPr>
        <w:br/>
        <w:t>Úvodní ustanovení</w:t>
      </w:r>
    </w:p>
    <w:p w:rsidR="00812D89" w:rsidRPr="007C7ED6" w:rsidRDefault="00812D89" w:rsidP="00812D89">
      <w:pPr>
        <w:widowControl w:val="0"/>
        <w:tabs>
          <w:tab w:val="left" w:pos="709"/>
        </w:tabs>
      </w:pPr>
      <w:r w:rsidRPr="007C7ED6">
        <w:t xml:space="preserve">Tato smlouva byla uzavřena s vybraným </w:t>
      </w:r>
      <w:r>
        <w:t>dodavatelem</w:t>
      </w:r>
      <w:r w:rsidRPr="007C7ED6">
        <w:t xml:space="preserve"> na základě </w:t>
      </w:r>
      <w:r>
        <w:t xml:space="preserve">výsledku zadávacího </w:t>
      </w:r>
      <w:r w:rsidRPr="007C7ED6">
        <w:t xml:space="preserve">řízení </w:t>
      </w:r>
      <w:r w:rsidRPr="00DE4FBB">
        <w:t xml:space="preserve">na zadání veřejné zakázky malého rozsahu </w:t>
      </w:r>
      <w:r w:rsidR="00C74355">
        <w:t>„</w:t>
      </w:r>
      <w:r w:rsidR="00C74355" w:rsidRPr="00DE4FBB">
        <w:t>IEA konference</w:t>
      </w:r>
      <w:r w:rsidR="00C74355">
        <w:t xml:space="preserve"> </w:t>
      </w:r>
      <w:r w:rsidR="00567C08">
        <w:t>část</w:t>
      </w:r>
      <w:r w:rsidR="00C74355" w:rsidRPr="00C74355">
        <w:t xml:space="preserve"> </w:t>
      </w:r>
      <w:r w:rsidR="00C74355">
        <w:t>Pronájem prostor a občerstvení</w:t>
      </w:r>
      <w:r w:rsidR="00807180" w:rsidRPr="00DE4FBB">
        <w:t>“</w:t>
      </w:r>
      <w:r w:rsidR="002453EC">
        <w:t xml:space="preserve"> </w:t>
      </w:r>
      <w:r>
        <w:t>objednatelem jako zadavatelem</w:t>
      </w:r>
      <w:r w:rsidRPr="007C7ED6">
        <w:t xml:space="preserve"> (dále „zakázka“). V případě rozporu mezi touto smlouvou a </w:t>
      </w:r>
      <w:r>
        <w:t>výzvou</w:t>
      </w:r>
      <w:r w:rsidRPr="007C7ED6">
        <w:t xml:space="preserve"> se použije </w:t>
      </w:r>
      <w:r>
        <w:t>výzva</w:t>
      </w:r>
      <w:r w:rsidRPr="007C7ED6">
        <w:t>.</w:t>
      </w:r>
    </w:p>
    <w:p w:rsidR="00F14DE9" w:rsidRDefault="00F14DE9" w:rsidP="00FD6367">
      <w:pPr>
        <w:pStyle w:val="Nadpis1"/>
        <w:numPr>
          <w:ilvl w:val="0"/>
          <w:numId w:val="13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Předmět plnění</w:t>
      </w:r>
    </w:p>
    <w:p w:rsidR="00CB189D" w:rsidRDefault="00CB189D" w:rsidP="00FD6367">
      <w:pPr>
        <w:numPr>
          <w:ilvl w:val="0"/>
          <w:numId w:val="44"/>
        </w:numPr>
        <w:spacing w:before="60" w:after="60"/>
        <w:ind w:left="0" w:firstLine="0"/>
      </w:pPr>
      <w:r w:rsidRPr="00303753">
        <w:t>Předmětem</w:t>
      </w:r>
      <w:r>
        <w:t xml:space="preserve"> </w:t>
      </w:r>
      <w:r w:rsidR="00FD6367">
        <w:t xml:space="preserve">plnění </w:t>
      </w:r>
      <w:r>
        <w:t xml:space="preserve">je </w:t>
      </w:r>
      <w:r w:rsidR="00B01623">
        <w:t>zajištění občerstven</w:t>
      </w:r>
      <w:r w:rsidR="003115F8">
        <w:t xml:space="preserve">í </w:t>
      </w:r>
      <w:r w:rsidR="00B01623">
        <w:t>form</w:t>
      </w:r>
      <w:r w:rsidR="003115F8">
        <w:t>ou</w:t>
      </w:r>
      <w:r w:rsidR="00B01623">
        <w:t xml:space="preserve"> </w:t>
      </w:r>
      <w:r>
        <w:t>společenské večeře s kulturním programem pro účastníky mezinárodní konference v termínu 29. června 2017.</w:t>
      </w:r>
    </w:p>
    <w:p w:rsidR="00453381" w:rsidRDefault="00453381" w:rsidP="00453381">
      <w:pPr>
        <w:numPr>
          <w:ilvl w:val="0"/>
          <w:numId w:val="44"/>
        </w:numPr>
        <w:spacing w:before="60" w:after="60"/>
        <w:ind w:left="0" w:firstLine="0"/>
      </w:pPr>
      <w:r>
        <w:t>Zajištění občerstvení formou společenské večeře včetně kulturního programu zahrnuje:</w:t>
      </w:r>
    </w:p>
    <w:p w:rsidR="00453381" w:rsidRDefault="00455905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Uspořádání večeře v </w:t>
      </w:r>
      <w:r w:rsidR="00453381">
        <w:t>restauraci</w:t>
      </w:r>
      <w:r>
        <w:t xml:space="preserve"> nabízející českou i mezinárodní kuchyni</w:t>
      </w:r>
      <w:r w:rsidR="00453381">
        <w:t xml:space="preserve">, kde budou všichni hosté </w:t>
      </w:r>
      <w:r w:rsidR="00453381" w:rsidRPr="00FC7DD9">
        <w:t>sedět</w:t>
      </w:r>
      <w:r w:rsidR="00453381">
        <w:t xml:space="preserve"> u stolů</w:t>
      </w:r>
      <w:r w:rsidR="00453381" w:rsidRPr="00FC7DD9">
        <w:t xml:space="preserve"> v jedné velké místnosti</w:t>
      </w:r>
      <w:r w:rsidR="00453381" w:rsidRPr="001939D6">
        <w:t xml:space="preserve"> </w:t>
      </w:r>
      <w:r w:rsidR="00453381">
        <w:t xml:space="preserve">(u jednoho stolu bude sedět maximálně 12 osob), která bude rezervována pouze pro zadavatele pro účely této zakázky. 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 xml:space="preserve">Restaurace se bude nacházet na území městské části Prahy 1 nebo městské části Praha 2 a nebude od místa konání konference (hlavní budova Pedagogické fakulty Univerzity Karlovy v Praze, </w:t>
      </w:r>
      <w:r w:rsidRPr="002840A5">
        <w:t>Magdalény Rettigové 4, Praha 1</w:t>
      </w:r>
      <w:r>
        <w:t>) vzdálena více než 2 km.</w:t>
      </w:r>
    </w:p>
    <w:p w:rsidR="00453381" w:rsidRPr="00FC7DD9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  <w:jc w:val="left"/>
      </w:pPr>
      <w:r w:rsidRPr="00FC7DD9">
        <w:t>Večeře bude trvat</w:t>
      </w:r>
      <w:r>
        <w:t xml:space="preserve"> 4 hodiny se začátkem v 18:0</w:t>
      </w:r>
      <w:r w:rsidRPr="00FC7DD9">
        <w:t>0</w:t>
      </w:r>
      <w:r>
        <w:t xml:space="preserve"> hod. </w:t>
      </w:r>
      <w:r w:rsidRPr="00FC7DD9">
        <w:t xml:space="preserve"> 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Počet hostů</w:t>
      </w:r>
      <w:r w:rsidRPr="00870758">
        <w:t xml:space="preserve"> společenské večeře bude max. 200 osob</w:t>
      </w:r>
      <w:r>
        <w:t xml:space="preserve">., cena za občerstvení bude fakturována dle nahlášeného počtu hostů, který zadavatel upřesní do </w:t>
      </w:r>
      <w:r w:rsidRPr="006F1540">
        <w:rPr>
          <w:b/>
        </w:rPr>
        <w:t>2</w:t>
      </w:r>
      <w:r w:rsidR="00010FA4">
        <w:rPr>
          <w:b/>
        </w:rPr>
        <w:t>6</w:t>
      </w:r>
      <w:r w:rsidRPr="006F1540">
        <w:rPr>
          <w:b/>
        </w:rPr>
        <w:t>. června 2017</w:t>
      </w:r>
      <w:r>
        <w:t xml:space="preserve"> včetně variant jednotlivých chodů večeře.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Večeře bude zajištěna formou servírovaného 3 chodového menu, které bude pro každého hosta zahrnovat polévku (včetně pečiva), hlavní chod a zákusek.</w:t>
      </w:r>
      <w:r w:rsidR="00455905">
        <w:t xml:space="preserve"> V nabídce bude uveden návrh min. tří polévek, čtyř hlavních chodů a dvou zákusků, přičemž jedna varianta každého chodu bude vždy vegetariánská.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Nápoje budou pro hosty zajištěny v rámci neomezeného nápojového menu (po dobu trvání večeře, tj. 4 hodiny), jehož součástí bude čaj/káva (dle výběru), výběr nealkoholických nápojů (</w:t>
      </w:r>
      <w:r w:rsidR="00455905">
        <w:t xml:space="preserve">min. v rozsahu </w:t>
      </w:r>
      <w:r>
        <w:t>voda perlivá</w:t>
      </w:r>
      <w:r w:rsidR="00455905">
        <w:t xml:space="preserve"> a </w:t>
      </w:r>
      <w:r>
        <w:t>neperlivá, džus). Alkoholické nápoje nejsou součástí plnění této veřejné zakázky, alkoholické nápoje objednané na konferenci si budou účastníci hradit sami.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Personál restaurace bude s hosty komunikovat v angličtině.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V rámci společenské večeře bude zajištěno ozvučení – 1 mikrofon (bezdrátový není nutný).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 xml:space="preserve">V rámci konání společenské večeře bude zajištěn kulturní program, který bude představovat vystoupení pěveckého vokálního sboru a </w:t>
      </w:r>
      <w:r w:rsidR="002A40A8">
        <w:t xml:space="preserve">který se </w:t>
      </w:r>
      <w:r>
        <w:t xml:space="preserve">bude konat v místnosti probíhající večeře, tzn. je nutno počítat s volným prostorem pro účinkující v rozsahu min. 2 x 4 m.  </w:t>
      </w:r>
    </w:p>
    <w:p w:rsidR="00453381" w:rsidRDefault="00453381" w:rsidP="00453381">
      <w:pPr>
        <w:pStyle w:val="Odstavecseseznamem"/>
        <w:numPr>
          <w:ilvl w:val="0"/>
          <w:numId w:val="45"/>
        </w:numPr>
        <w:spacing w:before="0" w:after="160" w:line="259" w:lineRule="auto"/>
      </w:pPr>
      <w:r>
        <w:t>Pěvecký vokální soubor bude mít minimálně 4 členy, zpívající bez hudebního doprovodu a disponující mezinárodním repertoárem. Pěvecký sbor vystoupí ve dvou vstupech. První vstup se uskuteční v úvodu před zahájením večeře a bude trvat cca 10 – 15 minut. Druhý vstup se uskuteční v době mezi hlavním chodem a zákuskem a bude trvat cca 15 – 20 minut.</w:t>
      </w:r>
    </w:p>
    <w:p w:rsidR="00C6472F" w:rsidRDefault="0046434D" w:rsidP="00714C3D">
      <w:pPr>
        <w:numPr>
          <w:ilvl w:val="0"/>
          <w:numId w:val="44"/>
        </w:numPr>
        <w:spacing w:before="60" w:after="60"/>
        <w:ind w:left="0" w:firstLine="0"/>
      </w:pPr>
      <w:r w:rsidRPr="007C7ED6">
        <w:t xml:space="preserve">Zjistí-li </w:t>
      </w:r>
      <w:r>
        <w:t>dodavatel</w:t>
      </w:r>
      <w:r w:rsidRPr="007C7ED6">
        <w:t xml:space="preserve"> při plnění smlouvy důvody pro úpravu předmětu plnění, je povinen bezodkladně písemně informovat </w:t>
      </w:r>
      <w:r>
        <w:t>objednatel</w:t>
      </w:r>
      <w:r w:rsidRPr="007C7ED6">
        <w:t xml:space="preserve">e a navrhnout dodatek k této smlouvě. Není-li </w:t>
      </w:r>
      <w:r>
        <w:t>objednatel</w:t>
      </w:r>
      <w:r w:rsidRPr="007C7ED6">
        <w:t xml:space="preserve">em stanoveno jinak, úpravy předmětu plnění </w:t>
      </w:r>
      <w:r>
        <w:t>dodavatel při plnění zohlední až na </w:t>
      </w:r>
      <w:r w:rsidRPr="007C7ED6">
        <w:t xml:space="preserve">základě účinného písemného dodatku k této smlouvě. Pokud tak </w:t>
      </w:r>
      <w:r>
        <w:t>dodavatel</w:t>
      </w:r>
      <w:r w:rsidRPr="007C7ED6">
        <w:t xml:space="preserve"> neučiní, má se za to, že </w:t>
      </w:r>
      <w:r w:rsidR="00FD6367">
        <w:t xml:space="preserve">plnění </w:t>
      </w:r>
      <w:r w:rsidRPr="007C7ED6">
        <w:t>jím provedené byl</w:t>
      </w:r>
      <w:r w:rsidR="00FD6367">
        <w:t>o</w:t>
      </w:r>
      <w:r w:rsidRPr="007C7ED6">
        <w:t xml:space="preserve"> v předmětu </w:t>
      </w:r>
      <w:r w:rsidR="00FD6367">
        <w:t xml:space="preserve">plnění </w:t>
      </w:r>
      <w:r w:rsidRPr="007C7ED6">
        <w:t>a v jeho ceně zahrnuty.</w:t>
      </w:r>
    </w:p>
    <w:p w:rsidR="00F14DE9" w:rsidRPr="00D36FFA" w:rsidRDefault="00F14DE9" w:rsidP="00D36FFA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Termín a místo plnění</w:t>
      </w:r>
    </w:p>
    <w:p w:rsidR="0046434D" w:rsidRDefault="00FD6367" w:rsidP="00FD6367">
      <w:pPr>
        <w:numPr>
          <w:ilvl w:val="0"/>
          <w:numId w:val="47"/>
        </w:numPr>
        <w:ind w:left="0" w:firstLine="0"/>
      </w:pPr>
      <w:r>
        <w:rPr>
          <w:lang w:eastAsia="cs-CZ"/>
        </w:rPr>
        <w:t xml:space="preserve">Termínem plnění je </w:t>
      </w:r>
      <w:r w:rsidR="0046434D">
        <w:rPr>
          <w:lang w:eastAsia="cs-CZ"/>
        </w:rPr>
        <w:t>29.</w:t>
      </w:r>
      <w:r w:rsidR="00567C08">
        <w:rPr>
          <w:lang w:eastAsia="cs-CZ"/>
        </w:rPr>
        <w:t xml:space="preserve"> </w:t>
      </w:r>
      <w:r w:rsidR="0046434D">
        <w:rPr>
          <w:lang w:eastAsia="cs-CZ"/>
        </w:rPr>
        <w:t>6</w:t>
      </w:r>
      <w:r>
        <w:rPr>
          <w:lang w:eastAsia="cs-CZ"/>
        </w:rPr>
        <w:t>.</w:t>
      </w:r>
      <w:r w:rsidR="00567C08">
        <w:rPr>
          <w:lang w:eastAsia="cs-CZ"/>
        </w:rPr>
        <w:t xml:space="preserve"> </w:t>
      </w:r>
      <w:r w:rsidR="0046434D">
        <w:rPr>
          <w:lang w:eastAsia="cs-CZ"/>
        </w:rPr>
        <w:t>2017.</w:t>
      </w:r>
    </w:p>
    <w:p w:rsidR="0046434D" w:rsidRDefault="0046434D" w:rsidP="00455905">
      <w:pPr>
        <w:numPr>
          <w:ilvl w:val="0"/>
          <w:numId w:val="47"/>
        </w:numPr>
        <w:autoSpaceDE w:val="0"/>
        <w:autoSpaceDN w:val="0"/>
        <w:adjustRightInd w:val="0"/>
        <w:ind w:left="0" w:firstLine="0"/>
        <w:rPr>
          <w:lang w:eastAsia="cs-CZ"/>
        </w:rPr>
      </w:pPr>
      <w:r>
        <w:rPr>
          <w:lang w:eastAsia="cs-CZ"/>
        </w:rPr>
        <w:t xml:space="preserve">Ke splnění dojde řádným uspořádáním společenské večeře vč. doprovodného programu. O uskutečnění </w:t>
      </w:r>
      <w:r w:rsidR="00FD6367">
        <w:rPr>
          <w:lang w:eastAsia="cs-CZ"/>
        </w:rPr>
        <w:t xml:space="preserve">plnění </w:t>
      </w:r>
      <w:r>
        <w:rPr>
          <w:lang w:eastAsia="cs-CZ"/>
        </w:rPr>
        <w:t xml:space="preserve">sepíše vybraný dodavatel a </w:t>
      </w:r>
      <w:r w:rsidR="00FD6367">
        <w:rPr>
          <w:lang w:eastAsia="cs-CZ"/>
        </w:rPr>
        <w:t xml:space="preserve">objednatel </w:t>
      </w:r>
      <w:r>
        <w:rPr>
          <w:lang w:eastAsia="cs-CZ"/>
        </w:rPr>
        <w:t>protokol podepsaný oprávněnými osobami.</w:t>
      </w:r>
    </w:p>
    <w:p w:rsidR="00C6472F" w:rsidRPr="00562412" w:rsidRDefault="0046434D" w:rsidP="0045590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ind w:left="0" w:firstLine="0"/>
        <w:contextualSpacing w:val="0"/>
        <w:rPr>
          <w:lang w:eastAsia="cs-CZ"/>
        </w:rPr>
      </w:pPr>
      <w:r w:rsidRPr="0046434D">
        <w:t xml:space="preserve">Místem plnění je restaurační zařízení na území městské části Praha 1 nebo Praha </w:t>
      </w:r>
      <w:r w:rsidRPr="00FE3EEA">
        <w:t xml:space="preserve">2 </w:t>
      </w:r>
      <w:r w:rsidRPr="0046434D">
        <w:t xml:space="preserve">max. </w:t>
      </w:r>
      <w:r w:rsidR="00567C08">
        <w:t>2</w:t>
      </w:r>
      <w:r w:rsidRPr="0046434D">
        <w:t xml:space="preserve"> km vzdálené od místa konání konference, tj. od budovy</w:t>
      </w:r>
      <w:r w:rsidR="00FE3EEA">
        <w:t xml:space="preserve"> Pedagogické fakulty Univerzity Karlovy v Praze</w:t>
      </w:r>
      <w:r w:rsidRPr="0046434D">
        <w:t xml:space="preserve"> (ul.</w:t>
      </w:r>
      <w:r w:rsidR="00EC42B3">
        <w:t xml:space="preserve"> </w:t>
      </w:r>
      <w:r w:rsidRPr="0046434D">
        <w:t xml:space="preserve">Magdalény Rettigové 4, Praha 1). </w:t>
      </w:r>
    </w:p>
    <w:p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i/>
          <w:sz w:val="24"/>
          <w:szCs w:val="24"/>
        </w:rPr>
        <w:br/>
      </w:r>
      <w:r w:rsidRPr="007C7ED6"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:rsidR="00F14DE9" w:rsidRDefault="003572AD" w:rsidP="00714C3D">
      <w:pPr>
        <w:pStyle w:val="Odstavecseseznamem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je povinen</w:t>
      </w:r>
      <w:r w:rsidR="0041392B">
        <w:t xml:space="preserve"> </w:t>
      </w:r>
      <w:r w:rsidR="00F14DE9" w:rsidRPr="007C7ED6">
        <w:t xml:space="preserve">sepsat </w:t>
      </w:r>
      <w:r w:rsidR="004D30EF">
        <w:t xml:space="preserve">akceptační </w:t>
      </w:r>
      <w:r w:rsidR="00F14DE9" w:rsidRPr="007C7ED6">
        <w:t>protokol.</w:t>
      </w:r>
      <w:r w:rsidR="00C74355" w:rsidRPr="00C74355">
        <w:t xml:space="preserve"> </w:t>
      </w:r>
    </w:p>
    <w:p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Cena</w:t>
      </w:r>
      <w:r w:rsidRPr="007C7ED6">
        <w:rPr>
          <w:rFonts w:ascii="Times New Roman" w:hAnsi="Times New Roman" w:cs="Times New Roman"/>
          <w:sz w:val="24"/>
          <w:szCs w:val="24"/>
        </w:rPr>
        <w:softHyphen/>
      </w:r>
      <w:r w:rsidRPr="007C7ED6">
        <w:rPr>
          <w:rFonts w:ascii="Times New Roman" w:hAnsi="Times New Roman" w:cs="Times New Roman"/>
          <w:sz w:val="24"/>
          <w:szCs w:val="24"/>
        </w:rPr>
        <w:softHyphen/>
        <w:t xml:space="preserve"> plnění</w:t>
      </w:r>
    </w:p>
    <w:p w:rsidR="002F2E53" w:rsidRPr="007C7ED6" w:rsidDel="005E2F96" w:rsidRDefault="00307BDC" w:rsidP="002F2E53">
      <w:pPr>
        <w:pStyle w:val="Odstavecseseznamem"/>
        <w:widowControl w:val="0"/>
        <w:numPr>
          <w:ilvl w:val="0"/>
          <w:numId w:val="33"/>
        </w:numPr>
        <w:tabs>
          <w:tab w:val="left" w:pos="709"/>
        </w:tabs>
        <w:spacing w:line="360" w:lineRule="auto"/>
        <w:ind w:left="0" w:firstLine="0"/>
        <w:contextualSpacing w:val="0"/>
      </w:pPr>
      <w:r>
        <w:t>C</w:t>
      </w:r>
      <w:r w:rsidR="00DA30FF">
        <w:t>ena</w:t>
      </w:r>
      <w:r w:rsidR="00085379">
        <w:t xml:space="preserve"> plnění</w:t>
      </w:r>
      <w:r>
        <w:t xml:space="preserve"> byla dohodou smluvních stran stanovena ve výši</w:t>
      </w:r>
      <w:r w:rsidR="00DA30FF">
        <w:t>:</w:t>
      </w:r>
    </w:p>
    <w:tbl>
      <w:tblPr>
        <w:tblW w:w="4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2268"/>
      </w:tblGrid>
      <w:tr w:rsidR="002F2E53" w:rsidRPr="001E785B" w:rsidTr="001175B1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  <w:vAlign w:val="center"/>
          </w:tcPr>
          <w:p w:rsidR="002F2E53" w:rsidRPr="00785D4D" w:rsidRDefault="00307BDC" w:rsidP="000B5952">
            <w:pPr>
              <w:keepNext/>
              <w:spacing w:before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</w:t>
            </w:r>
            <w:r w:rsidR="002F2E53" w:rsidRPr="00785D4D">
              <w:rPr>
                <w:b/>
                <w:color w:val="FFFFFF" w:themeColor="background1"/>
              </w:rPr>
              <w:t>lnění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2F2E53" w:rsidRPr="00785D4D" w:rsidRDefault="00307BDC" w:rsidP="000B5952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="002F2E53" w:rsidRPr="00785D4D">
              <w:rPr>
                <w:b/>
                <w:color w:val="FFFFFF" w:themeColor="background1"/>
              </w:rPr>
              <w:t>ena bez DPH</w:t>
            </w:r>
            <w:r w:rsidR="002F2E53" w:rsidRPr="00785D4D">
              <w:rPr>
                <w:b/>
                <w:color w:val="FFFFFF" w:themeColor="background1"/>
              </w:rPr>
              <w:br/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2F2E53" w:rsidRPr="00785D4D" w:rsidRDefault="002F2E53" w:rsidP="002F2E53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 w:rsidRPr="00785D4D">
              <w:rPr>
                <w:b/>
                <w:color w:val="FFFFFF" w:themeColor="background1"/>
              </w:rPr>
              <w:t>DPH v Kč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3CF"/>
          </w:tcPr>
          <w:p w:rsidR="002F2E53" w:rsidRPr="00785D4D" w:rsidRDefault="00307BDC" w:rsidP="000B5952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</w:t>
            </w:r>
            <w:r w:rsidR="002F2E53" w:rsidRPr="00785D4D">
              <w:rPr>
                <w:b/>
                <w:color w:val="FFFFFF" w:themeColor="background1"/>
              </w:rPr>
              <w:t>ena včetně DPH</w:t>
            </w:r>
          </w:p>
          <w:p w:rsidR="002F2E53" w:rsidRPr="00785D4D" w:rsidRDefault="002F2E53" w:rsidP="000B5952">
            <w:pPr>
              <w:keepNext/>
              <w:spacing w:before="20" w:after="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 Kč</w:t>
            </w:r>
          </w:p>
        </w:tc>
      </w:tr>
      <w:tr w:rsidR="002F2E53" w:rsidRPr="001E785B" w:rsidTr="001175B1">
        <w:tc>
          <w:tcPr>
            <w:tcW w:w="2830" w:type="dxa"/>
            <w:vAlign w:val="center"/>
          </w:tcPr>
          <w:p w:rsidR="002F2E53" w:rsidRPr="001E785B" w:rsidRDefault="00897CF8" w:rsidP="006F1540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2F2E53">
              <w:rPr>
                <w:color w:val="000000"/>
              </w:rPr>
              <w:t>bčerstvení</w:t>
            </w:r>
            <w:r>
              <w:rPr>
                <w:color w:val="000000"/>
              </w:rPr>
              <w:t xml:space="preserve"> </w:t>
            </w:r>
            <w:r w:rsidR="00764E57">
              <w:rPr>
                <w:color w:val="000000"/>
              </w:rPr>
              <w:t>(pro 200 osob)</w:t>
            </w:r>
          </w:p>
        </w:tc>
        <w:tc>
          <w:tcPr>
            <w:tcW w:w="1843" w:type="dxa"/>
          </w:tcPr>
          <w:p w:rsidR="002F2E53" w:rsidRPr="001E785B" w:rsidRDefault="002F2E53" w:rsidP="000B5952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:rsidR="002F2E53" w:rsidRPr="001E785B" w:rsidRDefault="002F2E53" w:rsidP="000B5952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:rsidR="002F2E53" w:rsidRPr="001E785B" w:rsidRDefault="002F2E53" w:rsidP="000B5952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2F2E53" w:rsidRPr="001E785B" w:rsidTr="001175B1">
        <w:tc>
          <w:tcPr>
            <w:tcW w:w="2830" w:type="dxa"/>
            <w:vAlign w:val="center"/>
          </w:tcPr>
          <w:p w:rsidR="002F2E53" w:rsidRDefault="00897CF8" w:rsidP="002F2E53">
            <w:pPr>
              <w:keepNext/>
              <w:spacing w:before="20"/>
              <w:rPr>
                <w:color w:val="000000"/>
              </w:rPr>
            </w:pPr>
            <w:r>
              <w:rPr>
                <w:color w:val="000000"/>
              </w:rPr>
              <w:t>Ostatní plnění</w:t>
            </w:r>
          </w:p>
        </w:tc>
        <w:tc>
          <w:tcPr>
            <w:tcW w:w="1843" w:type="dxa"/>
          </w:tcPr>
          <w:p w:rsidR="002F2E53" w:rsidRPr="001E785B" w:rsidRDefault="002F2E53" w:rsidP="002F2E5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1701" w:type="dxa"/>
          </w:tcPr>
          <w:p w:rsidR="002F2E53" w:rsidRPr="001E785B" w:rsidRDefault="002F2E53" w:rsidP="002F2E5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  <w:tc>
          <w:tcPr>
            <w:tcW w:w="2268" w:type="dxa"/>
          </w:tcPr>
          <w:p w:rsidR="002F2E53" w:rsidRPr="001E785B" w:rsidRDefault="002F2E53" w:rsidP="002F2E53">
            <w:pPr>
              <w:keepNext/>
              <w:spacing w:before="20" w:after="20"/>
              <w:jc w:val="right"/>
              <w:rPr>
                <w:color w:val="000000"/>
              </w:rPr>
            </w:pPr>
          </w:p>
        </w:tc>
      </w:tr>
      <w:tr w:rsidR="002F2E53" w:rsidRPr="001E785B" w:rsidTr="001175B1">
        <w:tc>
          <w:tcPr>
            <w:tcW w:w="2830" w:type="dxa"/>
            <w:vAlign w:val="center"/>
          </w:tcPr>
          <w:p w:rsidR="002F2E53" w:rsidRPr="001E785B" w:rsidRDefault="002F2E53" w:rsidP="002F2E53">
            <w:pPr>
              <w:keepNext/>
              <w:spacing w:before="20"/>
              <w:rPr>
                <w:color w:val="000000"/>
                <w:vertAlign w:val="superscript"/>
              </w:rPr>
            </w:pPr>
            <w:r w:rsidRPr="001E785B">
              <w:rPr>
                <w:b/>
                <w:color w:val="000000"/>
              </w:rPr>
              <w:t>CELKEM</w:t>
            </w:r>
            <w:r w:rsidRPr="001E785B">
              <w:rPr>
                <w:b/>
                <w:color w:val="000000"/>
                <w:vertAlign w:val="superscript"/>
              </w:rPr>
              <w:t>*</w:t>
            </w:r>
          </w:p>
        </w:tc>
        <w:tc>
          <w:tcPr>
            <w:tcW w:w="1843" w:type="dxa"/>
          </w:tcPr>
          <w:p w:rsidR="002F2E53" w:rsidRPr="001E785B" w:rsidRDefault="002F2E53" w:rsidP="002F2E5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2F2E53" w:rsidRPr="001E785B" w:rsidRDefault="002F2E53" w:rsidP="002F2E5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  <w:tc>
          <w:tcPr>
            <w:tcW w:w="2268" w:type="dxa"/>
          </w:tcPr>
          <w:p w:rsidR="002F2E53" w:rsidRPr="001E785B" w:rsidRDefault="002F2E53" w:rsidP="002F2E53">
            <w:pPr>
              <w:keepNext/>
              <w:spacing w:before="20" w:after="20"/>
              <w:jc w:val="right"/>
              <w:rPr>
                <w:b/>
                <w:color w:val="000000"/>
              </w:rPr>
            </w:pPr>
          </w:p>
        </w:tc>
      </w:tr>
    </w:tbl>
    <w:p w:rsidR="002F2E53" w:rsidRPr="00501388" w:rsidRDefault="002F2E53" w:rsidP="002F2E53">
      <w:pPr>
        <w:pStyle w:val="Odstavecseseznamem1"/>
        <w:keepNext/>
        <w:spacing w:before="0"/>
        <w:ind w:left="0"/>
        <w:contextualSpacing w:val="0"/>
        <w:rPr>
          <w:i/>
          <w:sz w:val="20"/>
          <w:szCs w:val="20"/>
        </w:rPr>
      </w:pPr>
      <w:r w:rsidRPr="00501388">
        <w:rPr>
          <w:i/>
          <w:sz w:val="20"/>
          <w:szCs w:val="20"/>
        </w:rPr>
        <w:t xml:space="preserve">* V ceně celkem je zahrnut součet plateb za </w:t>
      </w:r>
      <w:r w:rsidR="00DB63AA">
        <w:rPr>
          <w:i/>
          <w:sz w:val="20"/>
          <w:szCs w:val="20"/>
        </w:rPr>
        <w:t>občerstvení při účasti 200</w:t>
      </w:r>
      <w:r w:rsidRPr="00501388">
        <w:rPr>
          <w:i/>
          <w:sz w:val="20"/>
          <w:szCs w:val="20"/>
        </w:rPr>
        <w:t xml:space="preserve"> osob </w:t>
      </w:r>
      <w:r>
        <w:rPr>
          <w:i/>
          <w:sz w:val="20"/>
          <w:szCs w:val="20"/>
        </w:rPr>
        <w:t>a plateb za ostatní plnění v rozsahu specifikovaném v této smlouvě</w:t>
      </w:r>
      <w:r w:rsidRPr="00501388">
        <w:rPr>
          <w:i/>
          <w:sz w:val="20"/>
          <w:szCs w:val="20"/>
        </w:rPr>
        <w:t xml:space="preserve">. Cena </w:t>
      </w:r>
      <w:r>
        <w:rPr>
          <w:i/>
          <w:sz w:val="20"/>
          <w:szCs w:val="20"/>
        </w:rPr>
        <w:t xml:space="preserve">za zajištění občerstvení </w:t>
      </w:r>
      <w:r w:rsidRPr="00501388">
        <w:rPr>
          <w:i/>
          <w:sz w:val="20"/>
          <w:szCs w:val="20"/>
        </w:rPr>
        <w:t xml:space="preserve">se poměrně krátí, </w:t>
      </w:r>
      <w:r w:rsidRPr="00427B6F">
        <w:rPr>
          <w:i/>
          <w:sz w:val="20"/>
          <w:szCs w:val="20"/>
        </w:rPr>
        <w:t xml:space="preserve">bude-li </w:t>
      </w:r>
      <w:r w:rsidR="0089031A">
        <w:rPr>
          <w:i/>
          <w:sz w:val="20"/>
          <w:szCs w:val="20"/>
        </w:rPr>
        <w:t xml:space="preserve">do </w:t>
      </w:r>
      <w:r w:rsidR="00DB63AA">
        <w:rPr>
          <w:i/>
          <w:sz w:val="20"/>
          <w:szCs w:val="20"/>
        </w:rPr>
        <w:t>2</w:t>
      </w:r>
      <w:r w:rsidR="00674EB4">
        <w:rPr>
          <w:i/>
          <w:sz w:val="20"/>
          <w:szCs w:val="20"/>
        </w:rPr>
        <w:t>6</w:t>
      </w:r>
      <w:r w:rsidR="00DB63AA">
        <w:rPr>
          <w:i/>
          <w:sz w:val="20"/>
          <w:szCs w:val="20"/>
        </w:rPr>
        <w:t>. června</w:t>
      </w:r>
      <w:r w:rsidR="00085E17">
        <w:rPr>
          <w:i/>
          <w:sz w:val="20"/>
          <w:szCs w:val="20"/>
        </w:rPr>
        <w:t xml:space="preserve"> 2017</w:t>
      </w:r>
      <w:r w:rsidRPr="00427B6F">
        <w:rPr>
          <w:i/>
          <w:sz w:val="20"/>
          <w:szCs w:val="20"/>
        </w:rPr>
        <w:t xml:space="preserve"> oznámen nižší počet</w:t>
      </w:r>
      <w:r>
        <w:rPr>
          <w:i/>
          <w:sz w:val="20"/>
          <w:szCs w:val="20"/>
        </w:rPr>
        <w:t xml:space="preserve"> </w:t>
      </w:r>
      <w:r w:rsidR="00807180">
        <w:rPr>
          <w:i/>
          <w:sz w:val="20"/>
          <w:szCs w:val="20"/>
        </w:rPr>
        <w:t>osob</w:t>
      </w:r>
      <w:r w:rsidR="00FE3EEA">
        <w:rPr>
          <w:i/>
          <w:sz w:val="20"/>
          <w:szCs w:val="20"/>
        </w:rPr>
        <w:t>.</w:t>
      </w:r>
    </w:p>
    <w:p w:rsidR="00DA30FF" w:rsidRPr="007570E5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7C7ED6">
        <w:rPr>
          <w:szCs w:val="22"/>
        </w:rPr>
        <w:t xml:space="preserve">Cena podle odstavce 1 je platná po celou dobu trvání této smlouvy bez ohledu na vývoj inflace či jiné skutečnosti promítající se do ceny výrobků či služeb na trhu. Strany výslovně sjednávají, že nejde o tzv. cenu podle rozpočtu bez záruky jeho úplnosti či rozpočtu nezávazného ve smyslu § </w:t>
      </w:r>
      <w:r>
        <w:rPr>
          <w:szCs w:val="22"/>
        </w:rPr>
        <w:t>2622 občanského</w:t>
      </w:r>
      <w:r w:rsidRPr="007C7ED6">
        <w:rPr>
          <w:szCs w:val="22"/>
        </w:rPr>
        <w:t xml:space="preserve"> zákoníku a na je</w:t>
      </w:r>
      <w:r w:rsidR="006A72F7">
        <w:rPr>
          <w:szCs w:val="22"/>
        </w:rPr>
        <w:t>jí výši nemá vliv vynaložení či </w:t>
      </w:r>
      <w:r w:rsidRPr="007C7ED6">
        <w:rPr>
          <w:szCs w:val="22"/>
        </w:rPr>
        <w:t>výše jakýchkoli nákladů či poplatků, k jejichž úhradě je dodavatel na základě této smlouvy či obecně závazných právních předpisů povinen.</w:t>
      </w:r>
    </w:p>
    <w:p w:rsidR="00DA30FF" w:rsidRPr="007C7ED6" w:rsidRDefault="00DA30FF" w:rsidP="00DA30FF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 w:rsidRPr="00064D52">
        <w:rPr>
          <w:szCs w:val="22"/>
        </w:rPr>
        <w:t>Cenu podle odstavce 1 je možné měnit pouze, dojde</w:t>
      </w:r>
      <w:r w:rsidR="00E71527">
        <w:rPr>
          <w:szCs w:val="22"/>
        </w:rPr>
        <w:t>-li ke změně zákona č. 235/2004 </w:t>
      </w:r>
      <w:r w:rsidRPr="00064D52">
        <w:rPr>
          <w:szCs w:val="22"/>
        </w:rPr>
        <w:t xml:space="preserve">Sb., o dani z přidané hodnoty, ve znění pozdějších předpisů, </w:t>
      </w:r>
      <w:r w:rsidR="003572AD">
        <w:rPr>
          <w:szCs w:val="22"/>
        </w:rPr>
        <w:t>dodavatel</w:t>
      </w:r>
      <w:r w:rsidRPr="00064D52">
        <w:rPr>
          <w:szCs w:val="22"/>
        </w:rPr>
        <w:t xml:space="preserve"> bude účtovat daň z přidané hodnoty podle aktuální zákonné úpravy</w:t>
      </w:r>
      <w:r w:rsidRPr="007C7ED6">
        <w:t>.</w:t>
      </w:r>
    </w:p>
    <w:p w:rsidR="009C14D8" w:rsidRPr="007C7ED6" w:rsidRDefault="00DA30FF" w:rsidP="009C14D8">
      <w:pPr>
        <w:pStyle w:val="Odstavecseseznamem"/>
        <w:widowControl w:val="0"/>
        <w:numPr>
          <w:ilvl w:val="0"/>
          <w:numId w:val="33"/>
        </w:numPr>
        <w:ind w:left="0" w:firstLine="0"/>
        <w:contextualSpacing w:val="0"/>
      </w:pPr>
      <w:r>
        <w:t>Objednatel</w:t>
      </w:r>
      <w:r w:rsidRPr="007C7ED6">
        <w:t xml:space="preserve">i nebudou účtovány náklady spojené s dodatečně zjištěnými skutečnostmi, které měl možnost </w:t>
      </w:r>
      <w:r w:rsidR="003572AD">
        <w:t>dodavatel</w:t>
      </w:r>
      <w:r w:rsidRPr="007C7ED6">
        <w:t xml:space="preserve"> zjistit před uzavřením smlouvy.</w:t>
      </w:r>
    </w:p>
    <w:p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Platební podmínky</w:t>
      </w:r>
    </w:p>
    <w:p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Úhrada ceny za plnění bude provedena na základě </w:t>
      </w:r>
      <w:r w:rsidR="00897CF8">
        <w:t>dvou</w:t>
      </w:r>
      <w:r w:rsidRPr="007C7ED6">
        <w:t xml:space="preserve"> daňov</w:t>
      </w:r>
      <w:r w:rsidR="00567C08">
        <w:t>ých</w:t>
      </w:r>
      <w:r w:rsidRPr="007C7ED6">
        <w:t xml:space="preserve"> doklad</w:t>
      </w:r>
      <w:r w:rsidR="00567C08">
        <w:t>ů</w:t>
      </w:r>
      <w:r w:rsidR="001175B1">
        <w:t xml:space="preserve"> – faktur po </w:t>
      </w:r>
      <w:r w:rsidRPr="007C7ED6">
        <w:t>plnění doloženém protokolem o předání a převzetí p</w:t>
      </w:r>
      <w:r w:rsidR="009D0CE9">
        <w:t xml:space="preserve">ředmětu plnění. </w:t>
      </w:r>
      <w:r w:rsidR="00A652E1">
        <w:t>Faktur</w:t>
      </w:r>
      <w:r w:rsidR="00567C08">
        <w:t>y</w:t>
      </w:r>
      <w:r w:rsidR="00C6472F">
        <w:t xml:space="preserve"> budou</w:t>
      </w:r>
      <w:r w:rsidR="00A652E1">
        <w:t xml:space="preserve"> předán</w:t>
      </w:r>
      <w:r w:rsidR="00C6472F">
        <w:t>y dodavatelem objednateli</w:t>
      </w:r>
      <w:r w:rsidR="00A652E1">
        <w:t xml:space="preserve"> až po převzetí plnění objednatelem</w:t>
      </w:r>
      <w:r w:rsidR="009D0CE9">
        <w:t>.</w:t>
      </w:r>
    </w:p>
    <w:p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provede úhradu ceny plnění na základě </w:t>
      </w:r>
      <w:r w:rsidR="00567C08">
        <w:t xml:space="preserve">dvou </w:t>
      </w:r>
      <w:r w:rsidR="00F14DE9" w:rsidRPr="007C7ED6">
        <w:t>faktur vystaven</w:t>
      </w:r>
      <w:r w:rsidR="00567C08">
        <w:t>ých</w:t>
      </w:r>
      <w:r w:rsidR="00F14DE9" w:rsidRPr="007C7ED6">
        <w:t xml:space="preserve"> </w:t>
      </w:r>
      <w:r w:rsidR="003572AD">
        <w:t>dodavatelem</w:t>
      </w:r>
      <w:r w:rsidR="00F14DE9" w:rsidRPr="007C7ED6">
        <w:t xml:space="preserve"> </w:t>
      </w:r>
      <w:r w:rsidR="00764E57">
        <w:t>(k jaké části předmětu plnění se bud</w:t>
      </w:r>
      <w:r w:rsidR="002A40A8">
        <w:t>ou jednotlivé faktury vztahovat,</w:t>
      </w:r>
      <w:r w:rsidR="00764E57">
        <w:t xml:space="preserve"> sdělí objednatel dodavateli v dostatečném předstihu). </w:t>
      </w:r>
      <w:r w:rsidR="00F14DE9" w:rsidRPr="007C7ED6">
        <w:t>Faktur</w:t>
      </w:r>
      <w:r w:rsidR="00567C08">
        <w:t>y</w:t>
      </w:r>
      <w:r w:rsidR="00F14DE9" w:rsidRPr="007C7ED6">
        <w:t xml:space="preserve"> musí obsahovat náležitosti daňového dokladu ve smyslu zákona č. 235/2004 Sb., včetně doplnění dalš</w:t>
      </w:r>
      <w:r w:rsidR="001175B1">
        <w:t>ích náležitostí faktury podle § </w:t>
      </w:r>
      <w:r w:rsidR="00064D52">
        <w:t>435 občanského</w:t>
      </w:r>
      <w:r w:rsidR="00F14DE9" w:rsidRPr="007C7ED6">
        <w:t xml:space="preserve"> zákoníku</w:t>
      </w:r>
      <w:r w:rsidR="007D0275">
        <w:t>.</w:t>
      </w:r>
      <w:r w:rsidR="00F14DE9" w:rsidRPr="007C7ED6">
        <w:t xml:space="preserve"> </w:t>
      </w:r>
    </w:p>
    <w:p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Úhrada ceny bude provedena a účtována v CZK.</w:t>
      </w:r>
    </w:p>
    <w:p w:rsidR="00F14DE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>V případě, že faktur</w:t>
      </w:r>
      <w:r w:rsidR="00567C08">
        <w:t>y</w:t>
      </w:r>
      <w:r w:rsidRPr="007C7ED6">
        <w:t xml:space="preserve"> nebud</w:t>
      </w:r>
      <w:r w:rsidR="00567C08">
        <w:t>ou</w:t>
      </w:r>
      <w:r w:rsidRPr="007C7ED6">
        <w:t xml:space="preserve"> mít odpovídající náležitosti, je </w:t>
      </w:r>
      <w:r w:rsidR="009A1CD8">
        <w:t>objednatel</w:t>
      </w:r>
      <w:r w:rsidR="006A72F7">
        <w:t xml:space="preserve"> oprávněn j</w:t>
      </w:r>
      <w:r w:rsidR="00567C08">
        <w:t>e</w:t>
      </w:r>
      <w:r w:rsidR="006A72F7">
        <w:t> </w:t>
      </w:r>
      <w:r w:rsidRPr="007C7ED6">
        <w:t xml:space="preserve">vrátit ve lhůtě splatnosti zpět </w:t>
      </w:r>
      <w:r w:rsidR="003572AD">
        <w:t>dodavateli</w:t>
      </w:r>
      <w:r w:rsidRPr="007C7ED6">
        <w:t xml:space="preserve"> k doplnění, ani</w:t>
      </w:r>
      <w:r w:rsidR="006A72F7">
        <w:t>ž se tak dostane do prodlení se </w:t>
      </w:r>
      <w:r w:rsidRPr="007C7ED6">
        <w:t>splatností. Lhůta splatnosti počíná běžet znovu od doručení náležitě doplněného či opraveného dokladu.</w:t>
      </w:r>
    </w:p>
    <w:p w:rsidR="003E5109" w:rsidRPr="007C7ED6" w:rsidRDefault="00F14DE9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 w:rsidRPr="007C7ED6">
        <w:t xml:space="preserve">Faktury budou splatné </w:t>
      </w:r>
      <w:r w:rsidRPr="007C7ED6">
        <w:rPr>
          <w:b/>
        </w:rPr>
        <w:t xml:space="preserve">30 dní </w:t>
      </w:r>
      <w:r w:rsidRPr="007C7ED6">
        <w:t xml:space="preserve">od data jejich doručení na adresu sídla </w:t>
      </w:r>
      <w:r w:rsidR="009A1CD8">
        <w:t>objednatel</w:t>
      </w:r>
      <w:r w:rsidRPr="007C7ED6">
        <w:t xml:space="preserve">e v závislosti na přidělení prostředků ze státního rozpočtu. Za zaplacení se považuje datum odepsání finanční částky za služby z účtu </w:t>
      </w:r>
      <w:r w:rsidR="009A1CD8">
        <w:t>objednatel</w:t>
      </w:r>
      <w:r w:rsidRPr="007C7ED6">
        <w:t xml:space="preserve">e ve prospěch účtu </w:t>
      </w:r>
      <w:r w:rsidR="003572AD">
        <w:t>dodavatele</w:t>
      </w:r>
      <w:r w:rsidRPr="007C7ED6">
        <w:t>.</w:t>
      </w:r>
    </w:p>
    <w:p w:rsidR="00F14DE9" w:rsidRPr="007C7ED6" w:rsidRDefault="009A1CD8" w:rsidP="00290406">
      <w:pPr>
        <w:pStyle w:val="Odstavecseseznamem"/>
        <w:widowControl w:val="0"/>
        <w:numPr>
          <w:ilvl w:val="0"/>
          <w:numId w:val="7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nebude poskytovat zálohy.</w:t>
      </w:r>
    </w:p>
    <w:p w:rsidR="00F14DE9" w:rsidRPr="008938FB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</w:r>
      <w:r w:rsidRPr="008938FB">
        <w:rPr>
          <w:rFonts w:ascii="Times New Roman" w:hAnsi="Times New Roman" w:cs="Times New Roman"/>
          <w:sz w:val="24"/>
          <w:szCs w:val="24"/>
        </w:rPr>
        <w:t>Smluvní pokuty a odpovědnost za škodu</w:t>
      </w:r>
    </w:p>
    <w:p w:rsidR="00E62D1D" w:rsidRDefault="00E62D1D" w:rsidP="00E62D1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 xml:space="preserve">Objednatel je oprávněn po dodavateli vyžadovat zaplacení smluvní pokuty </w:t>
      </w:r>
      <w:r w:rsidR="003A7E70">
        <w:t>ve výši 2</w:t>
      </w:r>
      <w:r w:rsidR="000243AA">
        <w:t xml:space="preserve"> </w:t>
      </w:r>
      <w:r w:rsidR="003A7E70">
        <w:t>% z</w:t>
      </w:r>
      <w:r w:rsidR="00893A0D">
        <w:t xml:space="preserve"> celkové </w:t>
      </w:r>
      <w:r w:rsidR="003A7E70">
        <w:t>ceny</w:t>
      </w:r>
      <w:r w:rsidR="00893A0D">
        <w:t xml:space="preserve"> plnění</w:t>
      </w:r>
      <w:r w:rsidR="003A7E70">
        <w:t xml:space="preserve"> </w:t>
      </w:r>
      <w:r>
        <w:t xml:space="preserve">za nedodržení smluvních povinností, pokud je nedodržení zaviněné </w:t>
      </w:r>
      <w:r w:rsidR="00D353C7">
        <w:t>dodavatelem</w:t>
      </w:r>
      <w:r w:rsidR="003A7E70">
        <w:t>.</w:t>
      </w:r>
    </w:p>
    <w:p w:rsidR="00E62D1D" w:rsidRDefault="00E62D1D" w:rsidP="00E62D1D">
      <w:pPr>
        <w:pStyle w:val="Odstavecseseznamem1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Ustanovení o smluvních pokutách podle této smlouvy nemají vliv na náhradu škody a odstraňování vad.</w:t>
      </w:r>
    </w:p>
    <w:p w:rsidR="009157B0" w:rsidRPr="004C31D9" w:rsidRDefault="00F54C13" w:rsidP="004C31D9">
      <w:pPr>
        <w:pStyle w:val="Odstavecseseznamem"/>
        <w:widowControl w:val="0"/>
        <w:numPr>
          <w:ilvl w:val="0"/>
          <w:numId w:val="8"/>
        </w:numPr>
        <w:tabs>
          <w:tab w:val="left" w:pos="709"/>
        </w:tabs>
        <w:ind w:left="0" w:firstLine="0"/>
        <w:contextualSpacing w:val="0"/>
      </w:pPr>
      <w:r>
        <w:t>Dodavatel</w:t>
      </w:r>
      <w:r w:rsidR="00F14DE9" w:rsidRPr="007C7ED6">
        <w:t xml:space="preserve"> odpovídá za škodu způsobenou </w:t>
      </w:r>
      <w:r w:rsidR="009A1CD8">
        <w:t>objednatel</w:t>
      </w:r>
      <w:r w:rsidR="00F14DE9" w:rsidRPr="007C7ED6">
        <w:t xml:space="preserve">i v důsledku porušení povinností </w:t>
      </w:r>
      <w:r>
        <w:t>dodavatele</w:t>
      </w:r>
      <w:r w:rsidR="00F14DE9" w:rsidRPr="007C7ED6">
        <w:t xml:space="preserve">, pokud toto porušení nebylo způsobeno okolností vylučující odpovědnost dle platných ustanovení </w:t>
      </w:r>
      <w:r w:rsidR="00221150">
        <w:t>občanského</w:t>
      </w:r>
      <w:r w:rsidR="00221150" w:rsidRPr="007C7ED6">
        <w:t xml:space="preserve"> </w:t>
      </w:r>
      <w:r w:rsidR="00F14DE9" w:rsidRPr="007C7ED6">
        <w:t>zákoníku</w:t>
      </w:r>
      <w:r w:rsidR="00F14DE9" w:rsidRPr="007C7ED6">
        <w:rPr>
          <w:caps/>
        </w:rPr>
        <w:t>.</w:t>
      </w:r>
      <w:r w:rsidR="00F14DE9" w:rsidRPr="007C7ED6">
        <w:t xml:space="preserve"> </w:t>
      </w:r>
      <w:r>
        <w:t>Dodavatel</w:t>
      </w:r>
      <w:r w:rsidR="00F14DE9" w:rsidRPr="007C7ED6">
        <w:t xml:space="preserve"> je v takovémto případě povinen zaplatit náhradu škody způsobené </w:t>
      </w:r>
      <w:r w:rsidR="009A1CD8">
        <w:t>objednatel</w:t>
      </w:r>
      <w:r w:rsidR="00F14DE9" w:rsidRPr="007C7ED6">
        <w:t>i.</w:t>
      </w:r>
    </w:p>
    <w:p w:rsidR="00882771" w:rsidRPr="00D353C7" w:rsidRDefault="00882771" w:rsidP="00D353C7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14DE9" w:rsidRPr="007C7ED6" w:rsidRDefault="00F14DE9" w:rsidP="00882771">
      <w:pPr>
        <w:pStyle w:val="Nadpis1"/>
        <w:spacing w:before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t>Ukončení smlouvy</w:t>
      </w:r>
    </w:p>
    <w:p w:rsidR="0063381F" w:rsidRPr="007C7ED6" w:rsidRDefault="0063381F" w:rsidP="00BF6B3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 w:rsidRPr="007C7ED6">
        <w:t xml:space="preserve">Jestliže </w:t>
      </w:r>
      <w:r w:rsidRPr="00D50712">
        <w:rPr>
          <w:color w:val="000000"/>
        </w:rPr>
        <w:t xml:space="preserve">se </w:t>
      </w:r>
      <w:r w:rsidRPr="007C7ED6">
        <w:t xml:space="preserve">kterákoli ze smluvních stran </w:t>
      </w:r>
      <w:r w:rsidRPr="00D50712">
        <w:rPr>
          <w:color w:val="000000"/>
        </w:rPr>
        <w:t xml:space="preserve">dostane do prodlení s plněním povinnosti dle této smlouvy, </w:t>
      </w:r>
      <w:r w:rsidRPr="007C7ED6">
        <w:t xml:space="preserve">poruší </w:t>
      </w:r>
      <w:r w:rsidRPr="00D50712">
        <w:rPr>
          <w:color w:val="000000"/>
        </w:rPr>
        <w:t xml:space="preserve">tato strana </w:t>
      </w:r>
      <w:r w:rsidRPr="007C7ED6">
        <w:t>podstatným způsobem tuto smlouvu</w:t>
      </w:r>
      <w:r w:rsidRPr="00D50712">
        <w:rPr>
          <w:color w:val="000000"/>
        </w:rPr>
        <w:t xml:space="preserve"> a</w:t>
      </w:r>
      <w:r w:rsidRPr="007C7ED6">
        <w:t xml:space="preserve"> druhá strana může od</w:t>
      </w:r>
      <w:r w:rsidRPr="00D50712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:rsidR="00F14DE9" w:rsidRPr="007C7ED6" w:rsidRDefault="009A1CD8" w:rsidP="00BF6B31">
      <w:pPr>
        <w:pStyle w:val="Odstavecseseznamem"/>
        <w:widowControl w:val="0"/>
        <w:numPr>
          <w:ilvl w:val="0"/>
          <w:numId w:val="10"/>
        </w:numPr>
        <w:tabs>
          <w:tab w:val="left" w:pos="709"/>
        </w:tabs>
        <w:ind w:left="0" w:firstLine="0"/>
        <w:contextualSpacing w:val="0"/>
      </w:pPr>
      <w:r>
        <w:t>Objednatel</w:t>
      </w:r>
      <w:r w:rsidR="00F14DE9" w:rsidRPr="007C7ED6">
        <w:t xml:space="preserve"> je oprávněn od této smlouvy odstoupit, pokud nedostane prostředky </w:t>
      </w:r>
      <w:r w:rsidR="001175B1">
        <w:t>z </w:t>
      </w:r>
      <w:r w:rsidR="00893A0D">
        <w:t xml:space="preserve">Evropského sociálního fondu v rámci OP VVV nebo </w:t>
      </w:r>
      <w:r w:rsidR="00F14DE9" w:rsidRPr="007C7ED6">
        <w:t>ze státního rozpočtu účelově určené</w:t>
      </w:r>
      <w:r w:rsidR="00383DBF">
        <w:t xml:space="preserve"> na plnění podle této smlouvy</w:t>
      </w:r>
      <w:r w:rsidR="00F14DE9" w:rsidRPr="007C7ED6">
        <w:t xml:space="preserve"> nebo bude povinen tyto prostředky vrátit</w:t>
      </w:r>
      <w:r w:rsidR="00383DBF">
        <w:t>. To</w:t>
      </w:r>
      <w:r w:rsidR="00F14DE9" w:rsidRPr="007C7ED6">
        <w:t xml:space="preserve"> se uplatní i v případě částečného neposkytnutí nebo vrácení prostředků. Odstoupení od smlouvy je účinné dnem doručení oznámení o odstoupení </w:t>
      </w:r>
      <w:r w:rsidR="00F54C13">
        <w:t>dodavateli</w:t>
      </w:r>
      <w:r w:rsidR="00F14DE9" w:rsidRPr="007C7ED6">
        <w:t>.</w:t>
      </w:r>
    </w:p>
    <w:p w:rsidR="00F14DE9" w:rsidRPr="007C7ED6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7C7ED6">
        <w:rPr>
          <w:rFonts w:ascii="Times New Roman" w:hAnsi="Times New Roman" w:cs="Times New Roman"/>
          <w:sz w:val="24"/>
          <w:szCs w:val="24"/>
        </w:rPr>
        <w:br/>
        <w:t>Obecná ustanovení</w:t>
      </w:r>
    </w:p>
    <w:p w:rsidR="00E10570" w:rsidRDefault="00F14DE9" w:rsidP="00714C3D">
      <w:pPr>
        <w:pStyle w:val="Odstavecseseznamem"/>
        <w:widowControl w:val="0"/>
        <w:numPr>
          <w:ilvl w:val="0"/>
          <w:numId w:val="48"/>
        </w:numPr>
        <w:tabs>
          <w:tab w:val="left" w:pos="709"/>
        </w:tabs>
        <w:ind w:left="0" w:firstLine="0"/>
      </w:pPr>
      <w:r w:rsidRPr="007C7ED6">
        <w:t>Tato smlouva a veškeré záležitosti z ní vyplývající nebo s ní související se řídí právním řádem České republiky a spadají pod jurisdikci soudů České republiky. Smluvní strany se zavazují, že případné rozpory vzniklé při realizaci této smlouvy budou řešit korektním způsobem a</w:t>
      </w:r>
      <w:r w:rsidR="004541A2">
        <w:t> </w:t>
      </w:r>
      <w:r w:rsidRPr="007C7ED6">
        <w:t>v souladu s právními předpisy a pravidly slušnosti. Každá ze smluvních stran se dále zavazuje, že k soudnímu řešení uvedených sporů přistoupí až po vyčerpání možností jejich vyřízení mimosoudní cestou.</w:t>
      </w:r>
    </w:p>
    <w:p w:rsidR="00BF6B31" w:rsidRDefault="00BF6B31" w:rsidP="00714C3D">
      <w:pPr>
        <w:pStyle w:val="Odstavecseseznamem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 w:rsidRPr="00091A7C">
        <w:t>Plnění této smlouvy je spolufinancováno z Evropsk</w:t>
      </w:r>
      <w:r>
        <w:t>ého sociálního fondu v rámci OP </w:t>
      </w:r>
      <w:r w:rsidRPr="00091A7C">
        <w:t>V</w:t>
      </w:r>
      <w:r>
        <w:t>VV</w:t>
      </w:r>
      <w:r w:rsidRPr="00091A7C">
        <w:t xml:space="preserve">. Z toho vyplývají povinnosti pro objednatele a </w:t>
      </w:r>
      <w:r>
        <w:t>dodavatele</w:t>
      </w:r>
      <w:r w:rsidRPr="00091A7C">
        <w:t xml:space="preserve"> týkající se plnění této smlouvy. </w:t>
      </w:r>
      <w:r>
        <w:t>Dodavatel</w:t>
      </w:r>
      <w:r w:rsidRPr="00091A7C">
        <w:t xml:space="preserve"> toto bere na vědomí a zavazuje se plnit veškeré povinnosti pro něj vyplývající z financování plnění této smlouvy z Evropského sociálního fondu. </w:t>
      </w:r>
      <w:r>
        <w:t>Dodavatel</w:t>
      </w:r>
      <w:r w:rsidRPr="00091A7C">
        <w:t xml:space="preserve"> se zavazuje uchovávat dokumentaci</w:t>
      </w:r>
      <w:r>
        <w:t xml:space="preserve"> z tohoto plnění do konce roku 2033.</w:t>
      </w:r>
    </w:p>
    <w:p w:rsidR="00BF6B31" w:rsidRDefault="00BF6B31" w:rsidP="00714C3D">
      <w:pPr>
        <w:pStyle w:val="Odstavecseseznamem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9A3CA7">
        <w:t xml:space="preserve"> je povinen poskytnout součinnost a potřebné doklady a strpět kontrolu ze</w:t>
      </w:r>
      <w:r>
        <w:t> </w:t>
      </w:r>
      <w:r w:rsidRPr="009A3CA7">
        <w:t>strany oprávněných orgánů veřejné správy, zejména Ministerstva školství, mládeže a tělovýchovy a případně dalších relevantních orgánů, které</w:t>
      </w:r>
      <w:r>
        <w:t xml:space="preserve"> mají právo kontroly v rámci OP </w:t>
      </w:r>
      <w:r w:rsidRPr="009A3CA7">
        <w:t>V</w:t>
      </w:r>
      <w:r>
        <w:t>VV</w:t>
      </w:r>
      <w:r w:rsidRPr="009A3CA7">
        <w:t xml:space="preserve">. </w:t>
      </w:r>
      <w:r>
        <w:t>Dodavatel</w:t>
      </w:r>
      <w:r w:rsidRPr="009A3CA7">
        <w:t xml:space="preserve"> je povinen umožnit provedení kontroly všem subjektům implementační struktury OP V</w:t>
      </w:r>
      <w:r>
        <w:t>VV</w:t>
      </w:r>
      <w:r w:rsidRPr="009A3CA7">
        <w:t xml:space="preserve">, pověřeným kontrolním orgánům České republiky a pověřeným pracovníkům Evropské komise a Evropského účetního dvora. Dále je povinen na základě kontrol prováděných při monitorování projektu realizovat nápravná opatření, která mu budou uložena oprávněnými subjekty, a to v termínu, rozsahu a kvalitě podle požadavků stanovených příslušným kontrolním orgánem. Zároveň </w:t>
      </w:r>
      <w:r>
        <w:t>dodavatel</w:t>
      </w:r>
      <w:r w:rsidRPr="009A3CA7">
        <w:t xml:space="preserve"> objednateli písemně oznámí splně</w:t>
      </w:r>
      <w:r>
        <w:t>ní nápravných opatření, a kdo ta</w:t>
      </w:r>
      <w:r w:rsidRPr="009A3CA7">
        <w:t>to opatření uložil</w:t>
      </w:r>
      <w:r>
        <w:t>.</w:t>
      </w:r>
    </w:p>
    <w:p w:rsidR="00BF6B31" w:rsidRDefault="00BF6B31" w:rsidP="00714C3D">
      <w:pPr>
        <w:pStyle w:val="Odstavecseseznamem"/>
        <w:widowControl w:val="0"/>
        <w:numPr>
          <w:ilvl w:val="0"/>
          <w:numId w:val="48"/>
        </w:numPr>
        <w:tabs>
          <w:tab w:val="left" w:pos="709"/>
        </w:tabs>
        <w:ind w:left="0" w:firstLine="0"/>
        <w:contextualSpacing w:val="0"/>
      </w:pPr>
      <w:r>
        <w:t>Dodavatel</w:t>
      </w:r>
      <w:r w:rsidRPr="00091A7C">
        <w:t xml:space="preserve"> je povinen všechny povinnosti stanovené v tomto článku p</w:t>
      </w:r>
      <w:r>
        <w:t>řenést i na své poddodavatele.</w:t>
      </w:r>
    </w:p>
    <w:p w:rsidR="00F14DE9" w:rsidRPr="00E10570" w:rsidRDefault="00F14DE9" w:rsidP="00290406">
      <w:pPr>
        <w:pStyle w:val="Nadpis1"/>
        <w:numPr>
          <w:ilvl w:val="0"/>
          <w:numId w:val="13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10570">
        <w:rPr>
          <w:rFonts w:ascii="Times New Roman" w:hAnsi="Times New Roman" w:cs="Times New Roman"/>
          <w:sz w:val="24"/>
          <w:szCs w:val="24"/>
        </w:rPr>
        <w:br/>
        <w:t>Závěrečná ustanovení</w:t>
      </w:r>
    </w:p>
    <w:p w:rsidR="00F14DE9" w:rsidRDefault="00F14DE9" w:rsidP="00290406">
      <w:pPr>
        <w:pStyle w:val="Odstavecseseznamem1"/>
        <w:widowControl w:val="0"/>
        <w:numPr>
          <w:ilvl w:val="0"/>
          <w:numId w:val="12"/>
        </w:numPr>
        <w:ind w:left="0" w:firstLine="0"/>
        <w:contextualSpacing w:val="0"/>
      </w:pPr>
      <w:r w:rsidRPr="007C7ED6">
        <w:t>Písemnosti týkající se této smlouvy se považují za doručené i v případě, že druhá smluvní strana jejich doručení odmítne, či jinak znemožní.</w:t>
      </w:r>
    </w:p>
    <w:p w:rsidR="00882771" w:rsidRPr="007C7ED6" w:rsidRDefault="00882771" w:rsidP="00882771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Práva a závazky smluvních stran, která nejsou výslovně upravena touto smlouvou, se řídí </w:t>
      </w:r>
      <w:r>
        <w:t>občanským</w:t>
      </w:r>
      <w:r w:rsidRPr="007C7ED6">
        <w:t xml:space="preserve"> zákoníkem.</w:t>
      </w:r>
    </w:p>
    <w:p w:rsidR="007570E5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>Je-li nebo stane-li se některé z ustanovení této smlouvy neplatným nebo neúčinným, netýká se to ostatních ustanovení této smlouvy a smluvní strany se zavazují nahradit takové ustanovení novým ustanovením, které bude v nejvyšší možné míře splňovat stejné ekonomické, právní a obchodní cíle původního ustanovení. Totéž platí, vyskytnou-li se ve smlouvě či jejích dodatcích případné mezery.</w:t>
      </w:r>
    </w:p>
    <w:p w:rsidR="00F14DE9" w:rsidRPr="007C7ED6" w:rsidRDefault="00F14DE9" w:rsidP="00290406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ind w:left="0" w:firstLine="0"/>
        <w:contextualSpacing w:val="0"/>
      </w:pPr>
      <w:r w:rsidRPr="007C7ED6">
        <w:t xml:space="preserve">Změny této smlouvy mohou být učiněny pouze písemnými vzestupně číslovanými dodatky podepsanými oběma smluvními stranami, resp. osobami oprávněnými </w:t>
      </w:r>
      <w:r w:rsidR="001D4575">
        <w:t>zastupovat</w:t>
      </w:r>
      <w:r w:rsidRPr="007C7ED6">
        <w:t xml:space="preserve"> smluvní strany.</w:t>
      </w:r>
    </w:p>
    <w:p w:rsidR="00440AE0" w:rsidRDefault="00F14DE9" w:rsidP="00440AE0">
      <w:pPr>
        <w:pStyle w:val="Odstavecseseznamem"/>
        <w:widowControl w:val="0"/>
        <w:numPr>
          <w:ilvl w:val="0"/>
          <w:numId w:val="12"/>
        </w:numPr>
        <w:tabs>
          <w:tab w:val="left" w:pos="709"/>
        </w:tabs>
        <w:spacing w:after="360"/>
        <w:ind w:left="0" w:firstLine="0"/>
        <w:contextualSpacing w:val="0"/>
      </w:pPr>
      <w:r w:rsidRPr="007C7ED6">
        <w:t xml:space="preserve">Tato smlouva nabývá platnosti a účinnosti podpisem druhé ze smluvních stran. Tato smlouva byla vyhotovena ve </w:t>
      </w:r>
      <w:r w:rsidR="0056492F">
        <w:t>třech</w:t>
      </w:r>
      <w:r w:rsidRPr="007C7ED6">
        <w:t xml:space="preserve"> stejnopisech s platností originálu, přičemž </w:t>
      </w:r>
      <w:r w:rsidR="0056492F">
        <w:t xml:space="preserve">objednatel obdrží dvě vyhotovení a </w:t>
      </w:r>
      <w:r w:rsidR="00BB68EB">
        <w:t>dodavatel</w:t>
      </w:r>
      <w:r w:rsidR="0056492F">
        <w:t xml:space="preserve"> jedno vyhotovení.</w:t>
      </w: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4C6224" w:rsidRPr="00B10629" w:rsidTr="00A519D7">
        <w:trPr>
          <w:trHeight w:val="284"/>
        </w:trPr>
        <w:tc>
          <w:tcPr>
            <w:tcW w:w="4535" w:type="dxa"/>
            <w:shd w:val="clear" w:color="auto" w:fill="auto"/>
          </w:tcPr>
          <w:p w:rsidR="004C6224" w:rsidRPr="00B10629" w:rsidRDefault="004C6224" w:rsidP="00BB68EB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left"/>
              <w:rPr>
                <w:b/>
              </w:rPr>
            </w:pPr>
            <w:r w:rsidRPr="00B10629">
              <w:rPr>
                <w:b/>
              </w:rPr>
              <w:t xml:space="preserve">Za </w:t>
            </w:r>
            <w:r w:rsidR="00BB68EB"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:rsidR="004C6224" w:rsidRPr="00B10629" w:rsidRDefault="000F25E0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4C6224" w:rsidRPr="00B10629">
              <w:rPr>
                <w:b/>
              </w:rPr>
              <w:t>Za objednatele</w:t>
            </w:r>
          </w:p>
        </w:tc>
      </w:tr>
      <w:tr w:rsidR="004C6224" w:rsidRPr="00B10629" w:rsidTr="00A519D7">
        <w:trPr>
          <w:trHeight w:val="284"/>
        </w:trPr>
        <w:tc>
          <w:tcPr>
            <w:tcW w:w="4535" w:type="dxa"/>
            <w:shd w:val="clear" w:color="auto" w:fill="auto"/>
          </w:tcPr>
          <w:p w:rsidR="004C6224" w:rsidRPr="00B10629" w:rsidRDefault="004C6224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 w:rsidRPr="00B10629">
              <w:t>V …</w:t>
            </w:r>
            <w:r w:rsidR="000F25E0">
              <w:t>......</w:t>
            </w:r>
            <w:r w:rsidRPr="00B10629">
              <w:t>…… dne</w:t>
            </w:r>
          </w:p>
        </w:tc>
        <w:tc>
          <w:tcPr>
            <w:tcW w:w="4537" w:type="dxa"/>
            <w:shd w:val="clear" w:color="auto" w:fill="auto"/>
          </w:tcPr>
          <w:p w:rsidR="004C6224" w:rsidRPr="00B10629" w:rsidRDefault="000F25E0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</w:pPr>
            <w:r>
              <w:t xml:space="preserve">                         </w:t>
            </w:r>
            <w:r w:rsidR="004C6224" w:rsidRPr="00B10629">
              <w:t>V Praze dne</w:t>
            </w:r>
          </w:p>
        </w:tc>
      </w:tr>
      <w:tr w:rsidR="0096460D" w:rsidRPr="00B10629" w:rsidTr="00A519D7">
        <w:trPr>
          <w:trHeight w:val="284"/>
        </w:trPr>
        <w:tc>
          <w:tcPr>
            <w:tcW w:w="4535" w:type="dxa"/>
            <w:shd w:val="clear" w:color="auto" w:fill="auto"/>
          </w:tcPr>
          <w:p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:rsidR="0096460D" w:rsidRPr="00B10629" w:rsidRDefault="0096460D" w:rsidP="00290406">
            <w:pPr>
              <w:pStyle w:val="Odstavecseseznamem1"/>
              <w:widowControl w:val="0"/>
              <w:tabs>
                <w:tab w:val="left" w:pos="709"/>
              </w:tabs>
              <w:spacing w:before="600"/>
              <w:ind w:left="0"/>
              <w:contextualSpacing w:val="0"/>
            </w:pPr>
          </w:p>
        </w:tc>
      </w:tr>
      <w:tr w:rsidR="004C6224" w:rsidRPr="00B10629" w:rsidTr="00A519D7">
        <w:trPr>
          <w:trHeight w:val="456"/>
        </w:trPr>
        <w:tc>
          <w:tcPr>
            <w:tcW w:w="4535" w:type="dxa"/>
            <w:shd w:val="clear" w:color="auto" w:fill="auto"/>
          </w:tcPr>
          <w:p w:rsidR="004C6224" w:rsidRPr="00B10629" w:rsidRDefault="000F25E0" w:rsidP="000F25E0">
            <w:pPr>
              <w:pStyle w:val="Odstavecseseznamem1"/>
              <w:widowControl w:val="0"/>
              <w:ind w:left="0" w:right="2739"/>
              <w:contextualSpacing w:val="0"/>
              <w:jc w:val="center"/>
              <w:rPr>
                <w:i/>
              </w:rPr>
            </w:pPr>
            <w:r>
              <w:rPr>
                <w:i/>
              </w:rPr>
              <w:t>jméno, příjmení</w:t>
            </w:r>
            <w:r w:rsidR="0096460D" w:rsidRPr="00B10629">
              <w:rPr>
                <w:i/>
              </w:rPr>
              <w:br/>
              <w:t>funkce</w:t>
            </w:r>
          </w:p>
        </w:tc>
        <w:tc>
          <w:tcPr>
            <w:tcW w:w="4537" w:type="dxa"/>
            <w:shd w:val="clear" w:color="auto" w:fill="auto"/>
          </w:tcPr>
          <w:p w:rsidR="004C6224" w:rsidRPr="00B10629" w:rsidRDefault="000F25E0" w:rsidP="00290406">
            <w:pPr>
              <w:pStyle w:val="Odstavecseseznamem1"/>
              <w:widowControl w:val="0"/>
              <w:tabs>
                <w:tab w:val="left" w:pos="709"/>
              </w:tabs>
              <w:ind w:left="0"/>
              <w:contextualSpacing w:val="0"/>
              <w:jc w:val="center"/>
            </w:pPr>
            <w:r>
              <w:t xml:space="preserve">        </w:t>
            </w:r>
            <w:r w:rsidR="00F83591" w:rsidRPr="00B10629">
              <w:t>Mgr. Tomáš Zatloukal</w:t>
            </w:r>
          </w:p>
          <w:p w:rsidR="00F83591" w:rsidRPr="00B10629" w:rsidRDefault="000F25E0" w:rsidP="003F22FF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 xml:space="preserve">        </w:t>
            </w:r>
            <w:r w:rsidR="00F83591" w:rsidRPr="00B10629">
              <w:t>ústřední školní inspektor</w:t>
            </w:r>
          </w:p>
        </w:tc>
      </w:tr>
    </w:tbl>
    <w:p w:rsidR="008F5615" w:rsidRPr="00B10629" w:rsidRDefault="008F5615" w:rsidP="000F25E0">
      <w:pPr>
        <w:pStyle w:val="Odstavecseseznamem"/>
        <w:widowControl w:val="0"/>
        <w:tabs>
          <w:tab w:val="left" w:pos="709"/>
        </w:tabs>
        <w:spacing w:before="0"/>
        <w:ind w:left="0"/>
        <w:contextualSpacing w:val="0"/>
      </w:pPr>
    </w:p>
    <w:sectPr w:rsidR="008F5615" w:rsidRPr="00B1062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5E" w:rsidRDefault="0003435E" w:rsidP="00F14DE9">
      <w:pPr>
        <w:spacing w:before="0"/>
      </w:pPr>
      <w:r>
        <w:separator/>
      </w:r>
    </w:p>
  </w:endnote>
  <w:endnote w:type="continuationSeparator" w:id="0">
    <w:p w:rsidR="0003435E" w:rsidRDefault="0003435E" w:rsidP="00F14DE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289194"/>
      <w:docPartObj>
        <w:docPartGallery w:val="Page Numbers (Bottom of Page)"/>
        <w:docPartUnique/>
      </w:docPartObj>
    </w:sdtPr>
    <w:sdtEndPr/>
    <w:sdtContent>
      <w:p w:rsidR="006B1420" w:rsidRDefault="00567C08" w:rsidP="006B1420">
        <w:pPr>
          <w:pStyle w:val="Zpat"/>
          <w:jc w:val="center"/>
        </w:pPr>
        <w:r>
          <w:rPr>
            <w:noProof/>
            <w:lang w:eastAsia="cs-CZ"/>
          </w:rPr>
          <w:drawing>
            <wp:inline distT="0" distB="0" distL="0" distR="0" wp14:anchorId="4A876C08" wp14:editId="7589301D">
              <wp:extent cx="4524375" cy="1003921"/>
              <wp:effectExtent l="0" t="0" r="0" b="635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link_OP_VVV_hor_barva_cz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60289" cy="1011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6B1420">
          <w:fldChar w:fldCharType="begin"/>
        </w:r>
        <w:r w:rsidR="006B1420">
          <w:instrText>PAGE   \* MERGEFORMAT</w:instrText>
        </w:r>
        <w:r w:rsidR="006B1420">
          <w:fldChar w:fldCharType="separate"/>
        </w:r>
        <w:r w:rsidR="00027331">
          <w:rPr>
            <w:noProof/>
          </w:rPr>
          <w:t>2</w:t>
        </w:r>
        <w:r w:rsidR="006B1420">
          <w:fldChar w:fldCharType="end"/>
        </w:r>
        <w:r w:rsidR="006B1420">
          <w:t>/</w:t>
        </w:r>
        <w:fldSimple w:instr=" NUMPAGES   \* MERGEFORMAT ">
          <w:r w:rsidR="00027331">
            <w:rPr>
              <w:noProof/>
            </w:rPr>
            <w:t>6</w:t>
          </w:r>
        </w:fldSimple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5E" w:rsidRDefault="0003435E" w:rsidP="00F14DE9">
      <w:pPr>
        <w:spacing w:before="0"/>
      </w:pPr>
      <w:r>
        <w:separator/>
      </w:r>
    </w:p>
  </w:footnote>
  <w:footnote w:type="continuationSeparator" w:id="0">
    <w:p w:rsidR="0003435E" w:rsidRDefault="0003435E" w:rsidP="00F14DE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0C2" w:rsidRPr="00DE4FBB" w:rsidRDefault="00B870C2" w:rsidP="00B870C2">
    <w:pPr>
      <w:pStyle w:val="Zhlav"/>
      <w:tabs>
        <w:tab w:val="clear" w:pos="4536"/>
        <w:tab w:val="center" w:pos="2127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567C08">
      <w:rPr>
        <w:i/>
      </w:rPr>
      <w:t>IEA konference</w:t>
    </w:r>
  </w:p>
  <w:p w:rsidR="00B870C2" w:rsidRDefault="00B870C2" w:rsidP="00B870C2">
    <w:pPr>
      <w:pStyle w:val="Zhlav"/>
      <w:spacing w:before="0"/>
      <w:rPr>
        <w:i/>
      </w:rPr>
    </w:pPr>
    <w:r>
      <w:rPr>
        <w:i/>
      </w:rPr>
      <w:t>ČŠIG-</w:t>
    </w:r>
    <w:r w:rsidRPr="007C0868">
      <w:rPr>
        <w:i/>
      </w:rPr>
      <w:t>S-</w:t>
    </w:r>
    <w:r w:rsidR="00DE4FBB">
      <w:rPr>
        <w:i/>
      </w:rPr>
      <w:t>424</w:t>
    </w:r>
    <w:r w:rsidRPr="007C0868">
      <w:rPr>
        <w:i/>
      </w:rPr>
      <w:t>/17</w:t>
    </w:r>
    <w:r>
      <w:rPr>
        <w:i/>
      </w:rPr>
      <w:t>-G2</w:t>
    </w:r>
    <w:r>
      <w:rPr>
        <w:i/>
      </w:rPr>
      <w:tab/>
    </w:r>
    <w:r>
      <w:rPr>
        <w:i/>
      </w:rPr>
      <w:tab/>
      <w:t>ČŠIG</w:t>
    </w:r>
    <w:r w:rsidRPr="007C0868">
      <w:rPr>
        <w:i/>
      </w:rPr>
      <w:t>-</w:t>
    </w:r>
    <w:r w:rsidR="009B5991">
      <w:rPr>
        <w:i/>
      </w:rPr>
      <w:t>2646</w:t>
    </w:r>
    <w:r w:rsidRPr="007C0868">
      <w:rPr>
        <w:i/>
      </w:rPr>
      <w:t>/17</w:t>
    </w:r>
    <w:r>
      <w:rPr>
        <w:i/>
      </w:rPr>
      <w:t>-G2</w:t>
    </w:r>
  </w:p>
  <w:p w:rsidR="00B870C2" w:rsidRPr="00D10A0E" w:rsidRDefault="00B870C2" w:rsidP="00B870C2">
    <w:pPr>
      <w:pStyle w:val="Zhlav"/>
      <w:rPr>
        <w:i/>
      </w:rPr>
    </w:pPr>
  </w:p>
  <w:p w:rsidR="00D36FFA" w:rsidRDefault="00D36FFA" w:rsidP="00F6271D">
    <w:pPr>
      <w:pStyle w:val="Zhlav"/>
      <w:spacing w:before="0"/>
      <w:rPr>
        <w:i/>
      </w:rPr>
    </w:pPr>
  </w:p>
  <w:p w:rsidR="00D36FFA" w:rsidRDefault="00D36FFA" w:rsidP="00F6271D">
    <w:pPr>
      <w:pStyle w:val="Zhlav"/>
      <w:spacing w:before="0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7200C"/>
    <w:multiLevelType w:val="hybridMultilevel"/>
    <w:tmpl w:val="CC124FDA"/>
    <w:lvl w:ilvl="0" w:tplc="EA92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0B4E"/>
    <w:multiLevelType w:val="hybridMultilevel"/>
    <w:tmpl w:val="C3AC2408"/>
    <w:lvl w:ilvl="0" w:tplc="FD7E8DFE">
      <w:start w:val="1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C748A6"/>
    <w:multiLevelType w:val="hybridMultilevel"/>
    <w:tmpl w:val="42BA6224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02A81"/>
    <w:multiLevelType w:val="hybridMultilevel"/>
    <w:tmpl w:val="21DEC374"/>
    <w:lvl w:ilvl="0" w:tplc="169CE76E">
      <w:start w:val="1"/>
      <w:numFmt w:val="decimal"/>
      <w:lvlText w:val="čl. %1"/>
      <w:lvlJc w:val="center"/>
      <w:pPr>
        <w:ind w:left="4613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5" w15:restartNumberingAfterBreak="0">
    <w:nsid w:val="122C5E6B"/>
    <w:multiLevelType w:val="hybridMultilevel"/>
    <w:tmpl w:val="3A7058F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86302B"/>
    <w:multiLevelType w:val="hybridMultilevel"/>
    <w:tmpl w:val="2C3A3C4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DF78A8"/>
    <w:multiLevelType w:val="hybridMultilevel"/>
    <w:tmpl w:val="990E33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762AB"/>
    <w:multiLevelType w:val="hybridMultilevel"/>
    <w:tmpl w:val="D49AA53C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154BC"/>
    <w:multiLevelType w:val="hybridMultilevel"/>
    <w:tmpl w:val="FCCA7FE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85B07C1"/>
    <w:multiLevelType w:val="hybridMultilevel"/>
    <w:tmpl w:val="15C0E3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4267E"/>
    <w:multiLevelType w:val="hybridMultilevel"/>
    <w:tmpl w:val="C6B24430"/>
    <w:lvl w:ilvl="0" w:tplc="38CEB96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F046F6"/>
    <w:multiLevelType w:val="hybridMultilevel"/>
    <w:tmpl w:val="262AA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F34B8"/>
    <w:multiLevelType w:val="hybridMultilevel"/>
    <w:tmpl w:val="8690D694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557C1"/>
    <w:multiLevelType w:val="hybridMultilevel"/>
    <w:tmpl w:val="D9B806D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3E49"/>
    <w:multiLevelType w:val="hybridMultilevel"/>
    <w:tmpl w:val="65DC147C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B259D"/>
    <w:multiLevelType w:val="hybridMultilevel"/>
    <w:tmpl w:val="DA3CF078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617A9"/>
    <w:multiLevelType w:val="hybridMultilevel"/>
    <w:tmpl w:val="CD90A1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74AF9"/>
    <w:multiLevelType w:val="hybridMultilevel"/>
    <w:tmpl w:val="4158312E"/>
    <w:lvl w:ilvl="0" w:tplc="24785844">
      <w:start w:val="1"/>
      <w:numFmt w:val="decimal"/>
      <w:lvlText w:val="čl. %1"/>
      <w:lvlJc w:val="center"/>
      <w:pPr>
        <w:ind w:left="36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9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95EFD"/>
    <w:multiLevelType w:val="hybridMultilevel"/>
    <w:tmpl w:val="C35C5184"/>
    <w:lvl w:ilvl="0" w:tplc="51AA805A">
      <w:start w:val="44"/>
      <w:numFmt w:val="bullet"/>
      <w:lvlText w:val="-"/>
      <w:lvlJc w:val="left"/>
      <w:pPr>
        <w:ind w:left="25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2" w15:restartNumberingAfterBreak="0">
    <w:nsid w:val="45EE03DA"/>
    <w:multiLevelType w:val="hybridMultilevel"/>
    <w:tmpl w:val="A4E2D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2AE62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1968BB"/>
    <w:multiLevelType w:val="hybridMultilevel"/>
    <w:tmpl w:val="CD5E2E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CCF5E88"/>
    <w:multiLevelType w:val="hybridMultilevel"/>
    <w:tmpl w:val="A5D8C07C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86515"/>
    <w:multiLevelType w:val="hybridMultilevel"/>
    <w:tmpl w:val="03623F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6C269E"/>
    <w:multiLevelType w:val="hybridMultilevel"/>
    <w:tmpl w:val="AA52B08A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74369"/>
    <w:multiLevelType w:val="hybridMultilevel"/>
    <w:tmpl w:val="D0FE29EE"/>
    <w:lvl w:ilvl="0" w:tplc="33DA8A1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F1A73"/>
    <w:multiLevelType w:val="hybridMultilevel"/>
    <w:tmpl w:val="A89E6A10"/>
    <w:lvl w:ilvl="0" w:tplc="5AA27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B27B7D"/>
    <w:multiLevelType w:val="hybridMultilevel"/>
    <w:tmpl w:val="C1B857D8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464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1" w15:restartNumberingAfterBreak="0">
    <w:nsid w:val="5DBD7871"/>
    <w:multiLevelType w:val="hybridMultilevel"/>
    <w:tmpl w:val="BC9C4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4582E"/>
    <w:multiLevelType w:val="hybridMultilevel"/>
    <w:tmpl w:val="257448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BB1D22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37528"/>
    <w:multiLevelType w:val="hybridMultilevel"/>
    <w:tmpl w:val="EE4C71D6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665EF"/>
    <w:multiLevelType w:val="hybridMultilevel"/>
    <w:tmpl w:val="AA3422D2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6F1B19"/>
    <w:multiLevelType w:val="hybridMultilevel"/>
    <w:tmpl w:val="89A296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56AA4"/>
    <w:multiLevelType w:val="hybridMultilevel"/>
    <w:tmpl w:val="07FCA20E"/>
    <w:lvl w:ilvl="0" w:tplc="7904F8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328A"/>
    <w:multiLevelType w:val="hybridMultilevel"/>
    <w:tmpl w:val="2D1837F6"/>
    <w:lvl w:ilvl="0" w:tplc="62B428D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630C9"/>
    <w:multiLevelType w:val="hybridMultilevel"/>
    <w:tmpl w:val="801AF9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F95447"/>
    <w:multiLevelType w:val="hybridMultilevel"/>
    <w:tmpl w:val="2F74C532"/>
    <w:lvl w:ilvl="0" w:tplc="90DE07D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F41344"/>
    <w:multiLevelType w:val="hybridMultilevel"/>
    <w:tmpl w:val="681C6FCC"/>
    <w:lvl w:ilvl="0" w:tplc="51AA805A">
      <w:start w:val="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B273BD"/>
    <w:multiLevelType w:val="hybridMultilevel"/>
    <w:tmpl w:val="D92E4EE2"/>
    <w:lvl w:ilvl="0" w:tplc="A6CECB7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A8B0BA6"/>
    <w:multiLevelType w:val="hybridMultilevel"/>
    <w:tmpl w:val="3F725B7A"/>
    <w:lvl w:ilvl="0" w:tplc="7E366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035F8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CF63F10"/>
    <w:multiLevelType w:val="hybridMultilevel"/>
    <w:tmpl w:val="9686017E"/>
    <w:lvl w:ilvl="0" w:tplc="C3C29DC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39"/>
  </w:num>
  <w:num w:numId="4">
    <w:abstractNumId w:val="7"/>
  </w:num>
  <w:num w:numId="5">
    <w:abstractNumId w:val="45"/>
  </w:num>
  <w:num w:numId="6">
    <w:abstractNumId w:val="25"/>
  </w:num>
  <w:num w:numId="7">
    <w:abstractNumId w:val="5"/>
  </w:num>
  <w:num w:numId="8">
    <w:abstractNumId w:val="14"/>
  </w:num>
  <w:num w:numId="9">
    <w:abstractNumId w:val="43"/>
  </w:num>
  <w:num w:numId="10">
    <w:abstractNumId w:val="47"/>
  </w:num>
  <w:num w:numId="11">
    <w:abstractNumId w:val="33"/>
  </w:num>
  <w:num w:numId="12">
    <w:abstractNumId w:val="16"/>
  </w:num>
  <w:num w:numId="13">
    <w:abstractNumId w:val="18"/>
  </w:num>
  <w:num w:numId="14">
    <w:abstractNumId w:val="40"/>
  </w:num>
  <w:num w:numId="15">
    <w:abstractNumId w:val="41"/>
  </w:num>
  <w:num w:numId="16">
    <w:abstractNumId w:val="17"/>
  </w:num>
  <w:num w:numId="17">
    <w:abstractNumId w:val="32"/>
  </w:num>
  <w:num w:numId="18">
    <w:abstractNumId w:val="12"/>
  </w:num>
  <w:num w:numId="19">
    <w:abstractNumId w:val="30"/>
  </w:num>
  <w:num w:numId="20">
    <w:abstractNumId w:val="36"/>
  </w:num>
  <w:num w:numId="21">
    <w:abstractNumId w:val="19"/>
  </w:num>
  <w:num w:numId="22">
    <w:abstractNumId w:val="37"/>
  </w:num>
  <w:num w:numId="23">
    <w:abstractNumId w:val="11"/>
  </w:num>
  <w:num w:numId="24">
    <w:abstractNumId w:val="38"/>
  </w:num>
  <w:num w:numId="25">
    <w:abstractNumId w:val="42"/>
  </w:num>
  <w:num w:numId="26">
    <w:abstractNumId w:val="0"/>
  </w:num>
  <w:num w:numId="27">
    <w:abstractNumId w:val="28"/>
  </w:num>
  <w:num w:numId="28">
    <w:abstractNumId w:val="1"/>
  </w:num>
  <w:num w:numId="29">
    <w:abstractNumId w:val="21"/>
  </w:num>
  <w:num w:numId="30">
    <w:abstractNumId w:val="2"/>
  </w:num>
  <w:num w:numId="31">
    <w:abstractNumId w:val="26"/>
  </w:num>
  <w:num w:numId="32">
    <w:abstractNumId w:val="35"/>
  </w:num>
  <w:num w:numId="33">
    <w:abstractNumId w:val="29"/>
  </w:num>
  <w:num w:numId="34">
    <w:abstractNumId w:val="31"/>
  </w:num>
  <w:num w:numId="35">
    <w:abstractNumId w:val="10"/>
  </w:num>
  <w:num w:numId="36">
    <w:abstractNumId w:val="44"/>
  </w:num>
  <w:num w:numId="37">
    <w:abstractNumId w:val="9"/>
  </w:num>
  <w:num w:numId="38">
    <w:abstractNumId w:val="22"/>
  </w:num>
  <w:num w:numId="39">
    <w:abstractNumId w:val="23"/>
  </w:num>
  <w:num w:numId="40">
    <w:abstractNumId w:val="6"/>
  </w:num>
  <w:num w:numId="41">
    <w:abstractNumId w:val="24"/>
  </w:num>
  <w:num w:numId="42">
    <w:abstractNumId w:val="46"/>
  </w:num>
  <w:num w:numId="43">
    <w:abstractNumId w:val="4"/>
  </w:num>
  <w:num w:numId="44">
    <w:abstractNumId w:val="34"/>
  </w:num>
  <w:num w:numId="45">
    <w:abstractNumId w:val="27"/>
  </w:num>
  <w:num w:numId="46">
    <w:abstractNumId w:val="13"/>
  </w:num>
  <w:num w:numId="47">
    <w:abstractNumId w:val="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DE9"/>
    <w:rsid w:val="00003C5F"/>
    <w:rsid w:val="00010FA4"/>
    <w:rsid w:val="00012AF4"/>
    <w:rsid w:val="000243AA"/>
    <w:rsid w:val="0002476D"/>
    <w:rsid w:val="00025171"/>
    <w:rsid w:val="00027331"/>
    <w:rsid w:val="00031606"/>
    <w:rsid w:val="0003435E"/>
    <w:rsid w:val="00036DE0"/>
    <w:rsid w:val="00042533"/>
    <w:rsid w:val="00043ED5"/>
    <w:rsid w:val="00051832"/>
    <w:rsid w:val="00051E07"/>
    <w:rsid w:val="000553EA"/>
    <w:rsid w:val="00063FE7"/>
    <w:rsid w:val="00064D52"/>
    <w:rsid w:val="00085379"/>
    <w:rsid w:val="00085E17"/>
    <w:rsid w:val="000A6247"/>
    <w:rsid w:val="000B5B45"/>
    <w:rsid w:val="000C1B6B"/>
    <w:rsid w:val="000D7956"/>
    <w:rsid w:val="000E24D2"/>
    <w:rsid w:val="000F2173"/>
    <w:rsid w:val="000F25E0"/>
    <w:rsid w:val="000F26B1"/>
    <w:rsid w:val="0011092B"/>
    <w:rsid w:val="001150B2"/>
    <w:rsid w:val="0011634F"/>
    <w:rsid w:val="001175B1"/>
    <w:rsid w:val="00155A19"/>
    <w:rsid w:val="001618A7"/>
    <w:rsid w:val="001732A4"/>
    <w:rsid w:val="00185BEE"/>
    <w:rsid w:val="00187A9E"/>
    <w:rsid w:val="00195827"/>
    <w:rsid w:val="001A5336"/>
    <w:rsid w:val="001A70FD"/>
    <w:rsid w:val="001B2F1A"/>
    <w:rsid w:val="001C5F87"/>
    <w:rsid w:val="001D4575"/>
    <w:rsid w:val="001D4F90"/>
    <w:rsid w:val="001E5305"/>
    <w:rsid w:val="001E5E20"/>
    <w:rsid w:val="00202D37"/>
    <w:rsid w:val="002178F5"/>
    <w:rsid w:val="00221150"/>
    <w:rsid w:val="00222BA6"/>
    <w:rsid w:val="00224B41"/>
    <w:rsid w:val="0023498F"/>
    <w:rsid w:val="002352CD"/>
    <w:rsid w:val="002453EC"/>
    <w:rsid w:val="002500A5"/>
    <w:rsid w:val="002662AA"/>
    <w:rsid w:val="00266B8D"/>
    <w:rsid w:val="002820C5"/>
    <w:rsid w:val="002902F0"/>
    <w:rsid w:val="00290406"/>
    <w:rsid w:val="002A1BFD"/>
    <w:rsid w:val="002A40A8"/>
    <w:rsid w:val="002B3CBA"/>
    <w:rsid w:val="002C35CD"/>
    <w:rsid w:val="002C52F7"/>
    <w:rsid w:val="002C7C92"/>
    <w:rsid w:val="002E2E48"/>
    <w:rsid w:val="002E572F"/>
    <w:rsid w:val="002F08B2"/>
    <w:rsid w:val="002F2E53"/>
    <w:rsid w:val="0030135C"/>
    <w:rsid w:val="00307BDC"/>
    <w:rsid w:val="003115F8"/>
    <w:rsid w:val="0031694D"/>
    <w:rsid w:val="00325316"/>
    <w:rsid w:val="0032717B"/>
    <w:rsid w:val="00327B3F"/>
    <w:rsid w:val="00331EDF"/>
    <w:rsid w:val="00336B7A"/>
    <w:rsid w:val="003572AD"/>
    <w:rsid w:val="0036014E"/>
    <w:rsid w:val="003619AA"/>
    <w:rsid w:val="0036221B"/>
    <w:rsid w:val="00365C4D"/>
    <w:rsid w:val="00375CCB"/>
    <w:rsid w:val="00383DBF"/>
    <w:rsid w:val="00395917"/>
    <w:rsid w:val="003A7E70"/>
    <w:rsid w:val="003B35BA"/>
    <w:rsid w:val="003D5C2E"/>
    <w:rsid w:val="003D5D34"/>
    <w:rsid w:val="003E5109"/>
    <w:rsid w:val="003F22FF"/>
    <w:rsid w:val="00404809"/>
    <w:rsid w:val="00405F8D"/>
    <w:rsid w:val="0041392B"/>
    <w:rsid w:val="004254E1"/>
    <w:rsid w:val="00427B6F"/>
    <w:rsid w:val="00440AE0"/>
    <w:rsid w:val="004422B6"/>
    <w:rsid w:val="00452658"/>
    <w:rsid w:val="0045270C"/>
    <w:rsid w:val="00453381"/>
    <w:rsid w:val="004541A2"/>
    <w:rsid w:val="00455905"/>
    <w:rsid w:val="00456CD7"/>
    <w:rsid w:val="0046434D"/>
    <w:rsid w:val="00464537"/>
    <w:rsid w:val="00477B7B"/>
    <w:rsid w:val="00491363"/>
    <w:rsid w:val="00491AD6"/>
    <w:rsid w:val="00492587"/>
    <w:rsid w:val="004A2908"/>
    <w:rsid w:val="004A3A34"/>
    <w:rsid w:val="004A5248"/>
    <w:rsid w:val="004A5D02"/>
    <w:rsid w:val="004C31D9"/>
    <w:rsid w:val="004C495E"/>
    <w:rsid w:val="004C54B6"/>
    <w:rsid w:val="004C6224"/>
    <w:rsid w:val="004D30EF"/>
    <w:rsid w:val="004D626E"/>
    <w:rsid w:val="004D7547"/>
    <w:rsid w:val="004E5AFB"/>
    <w:rsid w:val="00510549"/>
    <w:rsid w:val="005340C8"/>
    <w:rsid w:val="00537A6D"/>
    <w:rsid w:val="005461EF"/>
    <w:rsid w:val="00550581"/>
    <w:rsid w:val="00552990"/>
    <w:rsid w:val="00552BE8"/>
    <w:rsid w:val="00562237"/>
    <w:rsid w:val="00564121"/>
    <w:rsid w:val="0056492F"/>
    <w:rsid w:val="00564E1E"/>
    <w:rsid w:val="00567C08"/>
    <w:rsid w:val="00570C31"/>
    <w:rsid w:val="0057463B"/>
    <w:rsid w:val="005761E1"/>
    <w:rsid w:val="005775CD"/>
    <w:rsid w:val="005B5557"/>
    <w:rsid w:val="005C13E6"/>
    <w:rsid w:val="005C3FF7"/>
    <w:rsid w:val="005E24C3"/>
    <w:rsid w:val="005E2F96"/>
    <w:rsid w:val="0061357F"/>
    <w:rsid w:val="0061514A"/>
    <w:rsid w:val="0062052F"/>
    <w:rsid w:val="006253BC"/>
    <w:rsid w:val="00625453"/>
    <w:rsid w:val="00626FBB"/>
    <w:rsid w:val="0063214B"/>
    <w:rsid w:val="0063381F"/>
    <w:rsid w:val="006569EB"/>
    <w:rsid w:val="00672B36"/>
    <w:rsid w:val="00674EB4"/>
    <w:rsid w:val="00682BBB"/>
    <w:rsid w:val="00685050"/>
    <w:rsid w:val="006A2046"/>
    <w:rsid w:val="006A72F7"/>
    <w:rsid w:val="006B1420"/>
    <w:rsid w:val="006B15A3"/>
    <w:rsid w:val="006B53F0"/>
    <w:rsid w:val="006B5B5B"/>
    <w:rsid w:val="006C4E56"/>
    <w:rsid w:val="006C61B1"/>
    <w:rsid w:val="006C66F0"/>
    <w:rsid w:val="006E6597"/>
    <w:rsid w:val="006F1540"/>
    <w:rsid w:val="006F15E5"/>
    <w:rsid w:val="006F25BF"/>
    <w:rsid w:val="007012B1"/>
    <w:rsid w:val="00702466"/>
    <w:rsid w:val="00714C3D"/>
    <w:rsid w:val="007255D9"/>
    <w:rsid w:val="007570E5"/>
    <w:rsid w:val="0076098A"/>
    <w:rsid w:val="007612C7"/>
    <w:rsid w:val="00764E57"/>
    <w:rsid w:val="00770A90"/>
    <w:rsid w:val="00775452"/>
    <w:rsid w:val="00787BA0"/>
    <w:rsid w:val="007B77A4"/>
    <w:rsid w:val="007C746E"/>
    <w:rsid w:val="007D0275"/>
    <w:rsid w:val="007D4432"/>
    <w:rsid w:val="007D6776"/>
    <w:rsid w:val="00805175"/>
    <w:rsid w:val="00807180"/>
    <w:rsid w:val="00812D89"/>
    <w:rsid w:val="008236AA"/>
    <w:rsid w:val="0084262C"/>
    <w:rsid w:val="00881663"/>
    <w:rsid w:val="00882771"/>
    <w:rsid w:val="00883CD2"/>
    <w:rsid w:val="00887748"/>
    <w:rsid w:val="0089031A"/>
    <w:rsid w:val="008938FB"/>
    <w:rsid w:val="00893A0D"/>
    <w:rsid w:val="00897275"/>
    <w:rsid w:val="00897CF8"/>
    <w:rsid w:val="008A6B73"/>
    <w:rsid w:val="008C017E"/>
    <w:rsid w:val="008C4293"/>
    <w:rsid w:val="008E3345"/>
    <w:rsid w:val="008F2FD3"/>
    <w:rsid w:val="008F5615"/>
    <w:rsid w:val="00900BEC"/>
    <w:rsid w:val="00901F4D"/>
    <w:rsid w:val="009022C8"/>
    <w:rsid w:val="00906611"/>
    <w:rsid w:val="009157B0"/>
    <w:rsid w:val="00930B3B"/>
    <w:rsid w:val="00953B75"/>
    <w:rsid w:val="0096460D"/>
    <w:rsid w:val="00966F72"/>
    <w:rsid w:val="00972988"/>
    <w:rsid w:val="009A1CD8"/>
    <w:rsid w:val="009A4A1E"/>
    <w:rsid w:val="009A4D67"/>
    <w:rsid w:val="009B3273"/>
    <w:rsid w:val="009B5991"/>
    <w:rsid w:val="009C14D8"/>
    <w:rsid w:val="009D0CE9"/>
    <w:rsid w:val="009D21DB"/>
    <w:rsid w:val="009E75CB"/>
    <w:rsid w:val="009F52C1"/>
    <w:rsid w:val="00A010DF"/>
    <w:rsid w:val="00A125F8"/>
    <w:rsid w:val="00A12740"/>
    <w:rsid w:val="00A2015A"/>
    <w:rsid w:val="00A206EA"/>
    <w:rsid w:val="00A27009"/>
    <w:rsid w:val="00A40071"/>
    <w:rsid w:val="00A42DD0"/>
    <w:rsid w:val="00A4385D"/>
    <w:rsid w:val="00A52F7D"/>
    <w:rsid w:val="00A53931"/>
    <w:rsid w:val="00A60263"/>
    <w:rsid w:val="00A61EAF"/>
    <w:rsid w:val="00A652E1"/>
    <w:rsid w:val="00A67246"/>
    <w:rsid w:val="00A67E5F"/>
    <w:rsid w:val="00A71A4D"/>
    <w:rsid w:val="00A82942"/>
    <w:rsid w:val="00AB4452"/>
    <w:rsid w:val="00AF2B49"/>
    <w:rsid w:val="00AF3D9E"/>
    <w:rsid w:val="00AF4140"/>
    <w:rsid w:val="00B01623"/>
    <w:rsid w:val="00B10629"/>
    <w:rsid w:val="00B226FA"/>
    <w:rsid w:val="00B247B9"/>
    <w:rsid w:val="00B46C51"/>
    <w:rsid w:val="00B76331"/>
    <w:rsid w:val="00B76A00"/>
    <w:rsid w:val="00B80168"/>
    <w:rsid w:val="00B870C2"/>
    <w:rsid w:val="00B9497A"/>
    <w:rsid w:val="00B96155"/>
    <w:rsid w:val="00BB01F6"/>
    <w:rsid w:val="00BB3633"/>
    <w:rsid w:val="00BB68EB"/>
    <w:rsid w:val="00BC33C9"/>
    <w:rsid w:val="00BC61B8"/>
    <w:rsid w:val="00BD121A"/>
    <w:rsid w:val="00BE4D19"/>
    <w:rsid w:val="00BF3FB0"/>
    <w:rsid w:val="00BF5899"/>
    <w:rsid w:val="00BF64E0"/>
    <w:rsid w:val="00BF6B31"/>
    <w:rsid w:val="00BF7A41"/>
    <w:rsid w:val="00C3219D"/>
    <w:rsid w:val="00C34033"/>
    <w:rsid w:val="00C34655"/>
    <w:rsid w:val="00C52E5F"/>
    <w:rsid w:val="00C6472F"/>
    <w:rsid w:val="00C74355"/>
    <w:rsid w:val="00C8466F"/>
    <w:rsid w:val="00CA4432"/>
    <w:rsid w:val="00CA575B"/>
    <w:rsid w:val="00CB0D36"/>
    <w:rsid w:val="00CB189D"/>
    <w:rsid w:val="00CB7A1F"/>
    <w:rsid w:val="00CE31F3"/>
    <w:rsid w:val="00CF0291"/>
    <w:rsid w:val="00D0166C"/>
    <w:rsid w:val="00D04022"/>
    <w:rsid w:val="00D076D0"/>
    <w:rsid w:val="00D10CF6"/>
    <w:rsid w:val="00D135EC"/>
    <w:rsid w:val="00D22293"/>
    <w:rsid w:val="00D22EEF"/>
    <w:rsid w:val="00D23967"/>
    <w:rsid w:val="00D353C7"/>
    <w:rsid w:val="00D36FFA"/>
    <w:rsid w:val="00D521CE"/>
    <w:rsid w:val="00D52D35"/>
    <w:rsid w:val="00D5613D"/>
    <w:rsid w:val="00D676CA"/>
    <w:rsid w:val="00D774B4"/>
    <w:rsid w:val="00D9566B"/>
    <w:rsid w:val="00DA30FF"/>
    <w:rsid w:val="00DA7377"/>
    <w:rsid w:val="00DB63AA"/>
    <w:rsid w:val="00DD395E"/>
    <w:rsid w:val="00DE3FEA"/>
    <w:rsid w:val="00DE4FBB"/>
    <w:rsid w:val="00DF2201"/>
    <w:rsid w:val="00E068AD"/>
    <w:rsid w:val="00E10570"/>
    <w:rsid w:val="00E12461"/>
    <w:rsid w:val="00E17686"/>
    <w:rsid w:val="00E4452D"/>
    <w:rsid w:val="00E4461B"/>
    <w:rsid w:val="00E62886"/>
    <w:rsid w:val="00E62D1D"/>
    <w:rsid w:val="00E709DC"/>
    <w:rsid w:val="00E71527"/>
    <w:rsid w:val="00E804FB"/>
    <w:rsid w:val="00E87750"/>
    <w:rsid w:val="00E87F3B"/>
    <w:rsid w:val="00E9113C"/>
    <w:rsid w:val="00EA18D0"/>
    <w:rsid w:val="00EB223B"/>
    <w:rsid w:val="00EC42B3"/>
    <w:rsid w:val="00EC6E43"/>
    <w:rsid w:val="00ED09B3"/>
    <w:rsid w:val="00ED58CF"/>
    <w:rsid w:val="00ED5E05"/>
    <w:rsid w:val="00EF154B"/>
    <w:rsid w:val="00EF1FEA"/>
    <w:rsid w:val="00EF3404"/>
    <w:rsid w:val="00F02886"/>
    <w:rsid w:val="00F050F6"/>
    <w:rsid w:val="00F14DE9"/>
    <w:rsid w:val="00F27C22"/>
    <w:rsid w:val="00F444D7"/>
    <w:rsid w:val="00F51F16"/>
    <w:rsid w:val="00F54C13"/>
    <w:rsid w:val="00F558A6"/>
    <w:rsid w:val="00F6068F"/>
    <w:rsid w:val="00F6271D"/>
    <w:rsid w:val="00F6772F"/>
    <w:rsid w:val="00F76CDB"/>
    <w:rsid w:val="00F83591"/>
    <w:rsid w:val="00F836D0"/>
    <w:rsid w:val="00F920A8"/>
    <w:rsid w:val="00FA07CC"/>
    <w:rsid w:val="00FB13C8"/>
    <w:rsid w:val="00FB58EF"/>
    <w:rsid w:val="00FB7E53"/>
    <w:rsid w:val="00FD6367"/>
    <w:rsid w:val="00FE3EEA"/>
    <w:rsid w:val="00FF1DB0"/>
    <w:rsid w:val="00FF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CFCBD"/>
  <w15:docId w15:val="{D33D4338-D0DF-44BB-9686-97ADF1D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DE9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F14D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14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4DE9"/>
  </w:style>
  <w:style w:type="paragraph" w:styleId="Zpat">
    <w:name w:val="footer"/>
    <w:basedOn w:val="Normln"/>
    <w:link w:val="ZpatChar"/>
    <w:uiPriority w:val="99"/>
    <w:unhideWhenUsed/>
    <w:rsid w:val="00F14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DE9"/>
  </w:style>
  <w:style w:type="paragraph" w:styleId="Textbubliny">
    <w:name w:val="Balloon Text"/>
    <w:basedOn w:val="Normln"/>
    <w:link w:val="TextbublinyChar"/>
    <w:uiPriority w:val="99"/>
    <w:semiHidden/>
    <w:unhideWhenUsed/>
    <w:rsid w:val="00F14D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DE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4DE9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slostrnky">
    <w:name w:val="page number"/>
    <w:basedOn w:val="Standardnpsmoodstavce"/>
    <w:rsid w:val="00F14DE9"/>
  </w:style>
  <w:style w:type="paragraph" w:styleId="Odstavecseseznamem">
    <w:name w:val="List Paragraph"/>
    <w:basedOn w:val="Normln"/>
    <w:link w:val="OdstavecseseznamemChar"/>
    <w:uiPriority w:val="34"/>
    <w:qFormat/>
    <w:rsid w:val="00F14DE9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F14DE9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064D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4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4D52"/>
    <w:rPr>
      <w:rFonts w:eastAsia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4D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4D52"/>
    <w:rPr>
      <w:rFonts w:eastAsia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F3FB0"/>
    <w:rPr>
      <w:color w:val="0000FF" w:themeColor="hyperlink"/>
      <w:u w:val="single"/>
    </w:rPr>
  </w:style>
  <w:style w:type="paragraph" w:customStyle="1" w:styleId="BlockQuotation">
    <w:name w:val="Block Quotation"/>
    <w:basedOn w:val="Normln"/>
    <w:rsid w:val="00C34033"/>
    <w:pPr>
      <w:widowControl w:val="0"/>
      <w:spacing w:before="0"/>
      <w:ind w:left="426" w:right="425" w:hanging="426"/>
    </w:pPr>
    <w:rPr>
      <w:sz w:val="22"/>
      <w:szCs w:val="20"/>
      <w:lang w:eastAsia="cs-CZ"/>
    </w:rPr>
  </w:style>
  <w:style w:type="table" w:styleId="Mkatabulky">
    <w:name w:val="Table Grid"/>
    <w:basedOn w:val="Normlntabulka"/>
    <w:uiPriority w:val="39"/>
    <w:rsid w:val="004D3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1150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150B2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E4FBB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ED681-0692-473D-BB52-8447A9F52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1636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Debnárová Miroslava</cp:lastModifiedBy>
  <cp:revision>6</cp:revision>
  <cp:lastPrinted>2017-01-05T09:14:00Z</cp:lastPrinted>
  <dcterms:created xsi:type="dcterms:W3CDTF">2017-06-06T12:42:00Z</dcterms:created>
  <dcterms:modified xsi:type="dcterms:W3CDTF">2017-06-07T04:50:00Z</dcterms:modified>
</cp:coreProperties>
</file>